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主管领导：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谢长虎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陪同人员：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审核时间：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2020.5.18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审核条款：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5.3组织的岗位、职责和权限、6.2环境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目标、6.1.2环境因素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危险源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、8.1运行策划和控制，8.2应急准备和响应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A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</w:rPr>
              <w:t>负责生产过程中的质量控制活动；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B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</w:rPr>
              <w:t>负责工艺设计和作业性技术文件的制定工作，对满足过程受控的技术保证负责。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C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</w:rPr>
              <w:t>负责技术引进和技术改造工作，积极采用新材料、新技术、新工艺、新装备，以提高公司科技水平和质量水平。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D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</w:rPr>
              <w:t>负责协调本部门与其它部门的关系，及时协调处理生产过程中出现的工装问题、工艺问题，确保生产正常进行。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目标</w:t>
            </w: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EO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办公场所垃圾分类存放率达100%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经2020年4月13日考核已经完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成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危险源</w:t>
            </w: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登记及评价表”，识别考虑了正常、异常、紧急，过去、现在、未来三种时态，能考虑到产品生命周期观点。涉及办公室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采取多因子评价法进行了评价，查到“重要环境因素清单”，评价出固体废弃物排放、火灾事故的发生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查“危险源风险评价表”，识别了办公、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过程中的危险源。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部的危险源有办公活动过程中地面湿滑滑倒、火灾、开水烫伤、触电、违章驾驶等。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对识别出的危险源采取D=LEC进行评价，查到“重大危险源清单”，评价出重大危险源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个，包括：火灾、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触电、意外伤害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部的重大危险源：触电事故、火灾事故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和意外伤害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49.22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sz w:val="24"/>
                <w:szCs w:val="24"/>
              </w:rPr>
              <w:t>ES8.2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240" w:firstLineChars="1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触电、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机械伤害应急预案等</w:t>
            </w:r>
          </w:p>
          <w:p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见：《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火灾应急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演练记录》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演练时间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演练地点：生产车间</w:t>
            </w:r>
            <w:bookmarkStart w:id="0" w:name="_GoBack"/>
            <w:bookmarkEnd w:id="0"/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演练部门：全体部门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参加人员各部门部长。过程记录详细。</w:t>
            </w:r>
          </w:p>
          <w:p>
            <w:pPr>
              <w:pStyle w:val="1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见：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日组织了</w:t>
            </w:r>
            <w:r>
              <w:rPr>
                <w:rFonts w:hint="eastAsia" w:ascii="楷体" w:hAnsi="楷体" w:eastAsia="楷体" w:cs="宋体"/>
                <w:bCs w:val="0"/>
                <w:sz w:val="24"/>
                <w:szCs w:val="24"/>
              </w:rPr>
              <w:t>触电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预案演练，演练中不但讲解了触电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pStyle w:val="11"/>
              <w:ind w:firstLine="260" w:firstLineChars="1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》，通过视频看到公司已经恢复生产，员工佩带口罩在岗位上操作，进出厂区测量体温，严格按政府和预案的要求执行。</w:t>
            </w:r>
          </w:p>
          <w:p>
            <w:pPr>
              <w:tabs>
                <w:tab w:val="left" w:pos="8689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基本符合。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E23ED9"/>
    <w:rsid w:val="2FD618CF"/>
    <w:rsid w:val="5B0E216F"/>
    <w:rsid w:val="64DD7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2020-05-17T03:57:50Z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