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eastAsiaTheme="minorEastAsia"/>
                <w:sz w:val="24"/>
                <w:szCs w:val="24"/>
              </w:rPr>
            </w:pPr>
            <w:r>
              <w:rPr>
                <w:rFonts w:hAnsiTheme="minorEastAsia" w:eastAsiaTheme="minorEastAsia"/>
                <w:sz w:val="24"/>
                <w:szCs w:val="24"/>
              </w:rPr>
              <w:t>过程与活动、</w:t>
            </w:r>
          </w:p>
          <w:p>
            <w:pPr>
              <w:jc w:val="center"/>
              <w:rPr>
                <w:rFonts w:eastAsiaTheme="minorEastAsia"/>
                <w:sz w:val="24"/>
                <w:szCs w:val="24"/>
              </w:rPr>
            </w:pPr>
            <w:r>
              <w:rPr>
                <w:rFonts w:hAnsiTheme="minorEastAsia" w:eastAsiaTheme="minorEastAsia"/>
                <w:sz w:val="24"/>
                <w:szCs w:val="24"/>
              </w:rPr>
              <w:t>抽样计划</w:t>
            </w:r>
          </w:p>
        </w:tc>
        <w:tc>
          <w:tcPr>
            <w:tcW w:w="960" w:type="dxa"/>
            <w:vMerge w:val="restart"/>
            <w:vAlign w:val="center"/>
          </w:tcPr>
          <w:p>
            <w:pPr>
              <w:rPr>
                <w:rFonts w:eastAsiaTheme="minorEastAsia"/>
                <w:sz w:val="24"/>
                <w:szCs w:val="24"/>
              </w:rPr>
            </w:pPr>
            <w:r>
              <w:rPr>
                <w:rFonts w:hAnsiTheme="minorEastAsia" w:eastAsiaTheme="minorEastAsia"/>
                <w:sz w:val="24"/>
                <w:szCs w:val="24"/>
              </w:rPr>
              <w:t>涉及</w:t>
            </w:r>
          </w:p>
          <w:p>
            <w:pPr>
              <w:rPr>
                <w:rFonts w:eastAsiaTheme="minorEastAsia"/>
                <w:sz w:val="24"/>
                <w:szCs w:val="24"/>
              </w:rPr>
            </w:pPr>
            <w:r>
              <w:rPr>
                <w:rFonts w:hAnsiTheme="minorEastAsia" w:eastAsiaTheme="minorEastAsia"/>
                <w:sz w:val="24"/>
                <w:szCs w:val="24"/>
              </w:rPr>
              <w:t>条款</w:t>
            </w:r>
          </w:p>
        </w:tc>
        <w:tc>
          <w:tcPr>
            <w:tcW w:w="10596" w:type="dxa"/>
            <w:vAlign w:val="center"/>
          </w:tcPr>
          <w:p>
            <w:pPr>
              <w:rPr>
                <w:rFonts w:eastAsiaTheme="minorEastAsia"/>
                <w:sz w:val="24"/>
                <w:szCs w:val="24"/>
              </w:rPr>
            </w:pPr>
            <w:r>
              <w:rPr>
                <w:rFonts w:hAnsiTheme="minorEastAsia" w:eastAsiaTheme="minorEastAsia"/>
                <w:sz w:val="24"/>
                <w:szCs w:val="24"/>
              </w:rPr>
              <w:t>受审核部门：财务部</w:t>
            </w:r>
            <w:r>
              <w:rPr>
                <w:rFonts w:hint="eastAsia" w:hAnsiTheme="minorEastAsia" w:eastAsiaTheme="minorEastAsia"/>
                <w:sz w:val="24"/>
                <w:szCs w:val="24"/>
              </w:rPr>
              <w:t xml:space="preserve">    </w:t>
            </w:r>
            <w:r>
              <w:rPr>
                <w:rFonts w:hAnsiTheme="minorEastAsia" w:eastAsiaTheme="minorEastAsia"/>
                <w:sz w:val="24"/>
                <w:szCs w:val="24"/>
              </w:rPr>
              <w:t>主管领导：</w:t>
            </w:r>
            <w:r>
              <w:rPr>
                <w:rFonts w:hint="eastAsia" w:ascii="宋体" w:hAnsi="宋体"/>
                <w:sz w:val="24"/>
              </w:rPr>
              <w:t>杨郁晖</w:t>
            </w:r>
            <w:r>
              <w:rPr>
                <w:rFonts w:hint="eastAsia" w:hAnsiTheme="minorEastAsia" w:eastAsiaTheme="minorEastAsia"/>
                <w:sz w:val="24"/>
                <w:szCs w:val="24"/>
              </w:rPr>
              <w:t xml:space="preserve">   </w:t>
            </w:r>
            <w:r>
              <w:rPr>
                <w:rFonts w:hAnsiTheme="minorEastAsia" w:eastAsiaTheme="minorEastAsia"/>
                <w:sz w:val="24"/>
                <w:szCs w:val="24"/>
              </w:rPr>
              <w:t>陪同人员：</w:t>
            </w:r>
            <w:r>
              <w:rPr>
                <w:rFonts w:hint="eastAsia" w:ascii="宋体" w:hAnsi="宋体"/>
                <w:sz w:val="24"/>
              </w:rPr>
              <w:t>杨婷</w:t>
            </w:r>
          </w:p>
        </w:tc>
        <w:tc>
          <w:tcPr>
            <w:tcW w:w="993" w:type="dxa"/>
            <w:vMerge w:val="restart"/>
            <w:vAlign w:val="center"/>
          </w:tcPr>
          <w:p>
            <w:pPr>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eastAsiaTheme="minorEastAsia"/>
                <w:sz w:val="24"/>
                <w:szCs w:val="24"/>
              </w:rPr>
            </w:pPr>
          </w:p>
        </w:tc>
        <w:tc>
          <w:tcPr>
            <w:tcW w:w="960" w:type="dxa"/>
            <w:vMerge w:val="continue"/>
            <w:vAlign w:val="center"/>
          </w:tcPr>
          <w:p>
            <w:pPr>
              <w:rPr>
                <w:rFonts w:eastAsiaTheme="minorEastAsia"/>
                <w:sz w:val="24"/>
                <w:szCs w:val="24"/>
              </w:rPr>
            </w:pPr>
          </w:p>
        </w:tc>
        <w:tc>
          <w:tcPr>
            <w:tcW w:w="10596" w:type="dxa"/>
            <w:vAlign w:val="center"/>
          </w:tcPr>
          <w:p>
            <w:pPr>
              <w:spacing w:before="120"/>
              <w:rPr>
                <w:rFonts w:eastAsiaTheme="minorEastAsia"/>
                <w:sz w:val="24"/>
                <w:szCs w:val="24"/>
              </w:rPr>
            </w:pPr>
            <w:r>
              <w:rPr>
                <w:rFonts w:hAnsiTheme="minorEastAsia" w:eastAsiaTheme="minorEastAsia"/>
                <w:sz w:val="24"/>
                <w:szCs w:val="24"/>
              </w:rPr>
              <w:t>审核员：文波</w:t>
            </w:r>
            <w:r>
              <w:rPr>
                <w:rFonts w:hint="eastAsia" w:hAnsiTheme="minorEastAsia" w:eastAsiaTheme="minorEastAsia"/>
                <w:sz w:val="24"/>
                <w:szCs w:val="24"/>
              </w:rPr>
              <w:t xml:space="preserve"> </w:t>
            </w:r>
            <w:r>
              <w:rPr>
                <w:rFonts w:eastAsiaTheme="minorEastAsia"/>
                <w:sz w:val="24"/>
                <w:szCs w:val="24"/>
              </w:rPr>
              <w:t xml:space="preserve">  </w:t>
            </w:r>
            <w:r>
              <w:rPr>
                <w:rFonts w:hAnsiTheme="minorEastAsia" w:eastAsiaTheme="minorEastAsia"/>
                <w:sz w:val="24"/>
                <w:szCs w:val="24"/>
              </w:rPr>
              <w:t>审核时间：</w:t>
            </w:r>
            <w:r>
              <w:rPr>
                <w:rFonts w:eastAsiaTheme="minorEastAsia"/>
                <w:sz w:val="24"/>
                <w:szCs w:val="24"/>
              </w:rPr>
              <w:t>20</w:t>
            </w:r>
            <w:r>
              <w:rPr>
                <w:rFonts w:hint="eastAsia" w:eastAsiaTheme="minorEastAsia"/>
                <w:sz w:val="24"/>
                <w:szCs w:val="24"/>
              </w:rPr>
              <w:t>20</w:t>
            </w:r>
            <w:r>
              <w:rPr>
                <w:rFonts w:eastAsiaTheme="minorEastAsia"/>
                <w:sz w:val="24"/>
                <w:szCs w:val="24"/>
              </w:rPr>
              <w:t>.</w:t>
            </w:r>
            <w:r>
              <w:rPr>
                <w:rFonts w:hint="eastAsia" w:eastAsiaTheme="minorEastAsia"/>
                <w:sz w:val="24"/>
                <w:szCs w:val="24"/>
              </w:rPr>
              <w:t>5</w:t>
            </w:r>
            <w:r>
              <w:rPr>
                <w:rFonts w:eastAsiaTheme="minorEastAsia"/>
                <w:sz w:val="24"/>
                <w:szCs w:val="24"/>
              </w:rPr>
              <w:t>.</w:t>
            </w:r>
            <w:r>
              <w:rPr>
                <w:rFonts w:hint="eastAsia" w:eastAsiaTheme="minorEastAsia"/>
                <w:sz w:val="24"/>
                <w:szCs w:val="24"/>
              </w:rPr>
              <w:t>18</w:t>
            </w:r>
          </w:p>
        </w:tc>
        <w:tc>
          <w:tcPr>
            <w:tcW w:w="993"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eastAsiaTheme="minorEastAsia"/>
                <w:sz w:val="24"/>
                <w:szCs w:val="24"/>
              </w:rPr>
            </w:pPr>
          </w:p>
        </w:tc>
        <w:tc>
          <w:tcPr>
            <w:tcW w:w="960" w:type="dxa"/>
            <w:vMerge w:val="continue"/>
            <w:vAlign w:val="center"/>
          </w:tcPr>
          <w:p>
            <w:pPr>
              <w:rPr>
                <w:rFonts w:eastAsiaTheme="minorEastAsia"/>
                <w:sz w:val="24"/>
                <w:szCs w:val="24"/>
              </w:rPr>
            </w:pPr>
          </w:p>
        </w:tc>
        <w:tc>
          <w:tcPr>
            <w:tcW w:w="10596" w:type="dxa"/>
            <w:vAlign w:val="center"/>
          </w:tcPr>
          <w:p>
            <w:pPr>
              <w:rPr>
                <w:rFonts w:eastAsiaTheme="minorEastAsia"/>
                <w:sz w:val="24"/>
                <w:szCs w:val="24"/>
              </w:rPr>
            </w:pPr>
            <w:r>
              <w:rPr>
                <w:rFonts w:hAnsiTheme="minorEastAsia" w:eastAsiaTheme="minorEastAsia"/>
                <w:sz w:val="24"/>
                <w:szCs w:val="24"/>
              </w:rPr>
              <w:t>审核条款：</w:t>
            </w:r>
            <w:r>
              <w:rPr>
                <w:rFonts w:hint="eastAsia" w:ascii="宋体" w:hAnsi="宋体" w:cs="Arial"/>
                <w:szCs w:val="21"/>
              </w:rPr>
              <w:t>EMS: 5.3组织的岗位、职责和权限、6.2环境目标、6.1.2环境因素识别与评价、8.1运行策划和控制、8.2应急准备和响应</w:t>
            </w:r>
          </w:p>
        </w:tc>
        <w:tc>
          <w:tcPr>
            <w:tcW w:w="993" w:type="dxa"/>
            <w:vMerge w:val="continue"/>
          </w:tcPr>
          <w:p>
            <w:pPr>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eastAsiaTheme="minorEastAsia"/>
                <w:color w:val="000000"/>
                <w:sz w:val="24"/>
                <w:szCs w:val="24"/>
              </w:rPr>
            </w:pPr>
            <w:r>
              <w:rPr>
                <w:rFonts w:hAnsiTheme="minorEastAsia" w:eastAsiaTheme="minorEastAsia"/>
                <w:color w:val="000000"/>
                <w:sz w:val="24"/>
                <w:szCs w:val="24"/>
              </w:rPr>
              <w:t>组织的岗位、职责权限</w:t>
            </w:r>
          </w:p>
        </w:tc>
        <w:tc>
          <w:tcPr>
            <w:tcW w:w="960" w:type="dxa"/>
          </w:tcPr>
          <w:p>
            <w:pPr>
              <w:spacing w:line="280" w:lineRule="exact"/>
              <w:rPr>
                <w:rFonts w:eastAsiaTheme="minorEastAsia"/>
                <w:color w:val="000000"/>
                <w:sz w:val="24"/>
                <w:szCs w:val="24"/>
              </w:rPr>
            </w:pPr>
          </w:p>
          <w:p>
            <w:pPr>
              <w:spacing w:line="280" w:lineRule="exact"/>
              <w:rPr>
                <w:rFonts w:eastAsiaTheme="minorEastAsia"/>
                <w:color w:val="000000"/>
                <w:sz w:val="24"/>
                <w:szCs w:val="24"/>
              </w:rPr>
            </w:pPr>
            <w:r>
              <w:rPr>
                <w:rFonts w:hint="eastAsia" w:eastAsiaTheme="minorEastAsia"/>
                <w:color w:val="000000"/>
                <w:sz w:val="24"/>
                <w:szCs w:val="24"/>
              </w:rPr>
              <w:t>E</w:t>
            </w:r>
            <w:r>
              <w:rPr>
                <w:rFonts w:eastAsiaTheme="minorEastAsia"/>
                <w:color w:val="000000"/>
                <w:sz w:val="24"/>
                <w:szCs w:val="24"/>
              </w:rPr>
              <w:t>5.3</w:t>
            </w:r>
          </w:p>
          <w:p>
            <w:pPr>
              <w:rPr>
                <w:rFonts w:eastAsiaTheme="minorEastAsia"/>
                <w:color w:val="000000"/>
                <w:sz w:val="24"/>
                <w:szCs w:val="24"/>
              </w:rPr>
            </w:pPr>
          </w:p>
        </w:tc>
        <w:tc>
          <w:tcPr>
            <w:tcW w:w="10596" w:type="dxa"/>
          </w:tcPr>
          <w:p>
            <w:pPr>
              <w:spacing w:line="360" w:lineRule="auto"/>
              <w:rPr>
                <w:rFonts w:eastAsiaTheme="minorEastAsia"/>
                <w:color w:val="000000"/>
                <w:sz w:val="24"/>
                <w:szCs w:val="24"/>
              </w:rPr>
            </w:pPr>
            <w:r>
              <w:rPr>
                <w:rFonts w:hAnsiTheme="minorEastAsia" w:eastAsiaTheme="minorEastAsia"/>
                <w:color w:val="000000"/>
                <w:sz w:val="24"/>
                <w:szCs w:val="24"/>
              </w:rPr>
              <w:t>部门负责人：</w:t>
            </w:r>
            <w:r>
              <w:rPr>
                <w:rFonts w:hint="eastAsia" w:ascii="宋体" w:hAnsi="宋体"/>
                <w:sz w:val="24"/>
              </w:rPr>
              <w:t>杨郁晖</w:t>
            </w:r>
            <w:r>
              <w:rPr>
                <w:rFonts w:hAnsiTheme="minorEastAsia" w:eastAsiaTheme="minorEastAsia"/>
                <w:color w:val="000000"/>
                <w:sz w:val="24"/>
                <w:szCs w:val="24"/>
              </w:rPr>
              <w:t>，</w:t>
            </w:r>
            <w:bookmarkStart w:id="0" w:name="_GoBack"/>
            <w:bookmarkEnd w:id="0"/>
          </w:p>
          <w:p>
            <w:pPr>
              <w:spacing w:line="360" w:lineRule="auto"/>
              <w:rPr>
                <w:rFonts w:eastAsiaTheme="minorEastAsia"/>
                <w:color w:val="000000"/>
                <w:sz w:val="24"/>
                <w:szCs w:val="24"/>
              </w:rPr>
            </w:pPr>
            <w:r>
              <w:rPr>
                <w:rFonts w:hAnsiTheme="minorEastAsia" w:eastAsiaTheme="minorEastAsia"/>
                <w:color w:val="000000"/>
                <w:sz w:val="24"/>
                <w:szCs w:val="24"/>
              </w:rPr>
              <w:t>主要负责：为公司</w:t>
            </w:r>
            <w:r>
              <w:rPr>
                <w:rFonts w:hint="eastAsia" w:hAnsiTheme="minorEastAsia" w:eastAsiaTheme="minorEastAsia"/>
                <w:color w:val="000000"/>
                <w:sz w:val="24"/>
                <w:szCs w:val="24"/>
              </w:rPr>
              <w:t>环境\</w:t>
            </w:r>
            <w:r>
              <w:rPr>
                <w:rFonts w:hAnsiTheme="minorEastAsia" w:eastAsiaTheme="minorEastAsia"/>
                <w:color w:val="000000"/>
                <w:sz w:val="24"/>
                <w:szCs w:val="24"/>
              </w:rPr>
              <w:t>职业健康安全管理体系的运行提供财务支持</w:t>
            </w:r>
            <w:r>
              <w:rPr>
                <w:rFonts w:hint="eastAsia" w:hAnsiTheme="minorEastAsia" w:eastAsiaTheme="minorEastAsia"/>
                <w:color w:val="000000"/>
                <w:sz w:val="24"/>
                <w:szCs w:val="24"/>
              </w:rPr>
              <w:t>，控制预算</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eastAsiaTheme="minorEastAsia"/>
                <w:color w:val="000000"/>
                <w:sz w:val="24"/>
                <w:szCs w:val="24"/>
              </w:rPr>
            </w:pPr>
            <w:r>
              <w:rPr>
                <w:rFonts w:hAnsiTheme="minorEastAsia" w:eastAsiaTheme="minorEastAsia"/>
                <w:color w:val="000000"/>
                <w:sz w:val="24"/>
                <w:szCs w:val="24"/>
              </w:rPr>
              <w:t>目标、指标管理方案</w:t>
            </w:r>
          </w:p>
          <w:p>
            <w:pPr>
              <w:rPr>
                <w:rFonts w:eastAsiaTheme="minorEastAsia"/>
                <w:color w:val="000000"/>
                <w:sz w:val="24"/>
                <w:szCs w:val="24"/>
              </w:rPr>
            </w:pPr>
          </w:p>
        </w:tc>
        <w:tc>
          <w:tcPr>
            <w:tcW w:w="960" w:type="dxa"/>
          </w:tcPr>
          <w:p>
            <w:pPr>
              <w:rPr>
                <w:rFonts w:eastAsiaTheme="minorEastAsia"/>
                <w:color w:val="000000"/>
                <w:sz w:val="24"/>
                <w:szCs w:val="24"/>
              </w:rPr>
            </w:pPr>
            <w:r>
              <w:rPr>
                <w:rFonts w:eastAsiaTheme="minorEastAsia"/>
                <w:color w:val="000000"/>
                <w:sz w:val="24"/>
                <w:szCs w:val="24"/>
              </w:rPr>
              <w:t xml:space="preserve">E6.2  </w:t>
            </w:r>
          </w:p>
          <w:p>
            <w:pPr>
              <w:rPr>
                <w:rFonts w:eastAsiaTheme="minorEastAsia"/>
                <w:color w:val="000000"/>
                <w:sz w:val="24"/>
                <w:szCs w:val="24"/>
              </w:rPr>
            </w:pPr>
          </w:p>
        </w:tc>
        <w:tc>
          <w:tcPr>
            <w:tcW w:w="10596" w:type="dxa"/>
          </w:tcPr>
          <w:p>
            <w:pPr>
              <w:spacing w:line="360" w:lineRule="auto"/>
              <w:jc w:val="left"/>
              <w:rPr>
                <w:rFonts w:eastAsiaTheme="minorEastAsia"/>
                <w:color w:val="000000"/>
                <w:sz w:val="24"/>
                <w:szCs w:val="24"/>
              </w:rPr>
            </w:pPr>
            <w:r>
              <w:rPr>
                <w:rFonts w:hAnsiTheme="minorEastAsia" w:eastAsiaTheme="minorEastAsia"/>
                <w:color w:val="000000"/>
                <w:sz w:val="24"/>
                <w:szCs w:val="24"/>
              </w:rPr>
              <w:t>考核时间：</w:t>
            </w:r>
            <w:r>
              <w:rPr>
                <w:rFonts w:eastAsiaTheme="minorEastAsia"/>
                <w:color w:val="000000"/>
                <w:sz w:val="24"/>
                <w:szCs w:val="24"/>
              </w:rPr>
              <w:t>20</w:t>
            </w:r>
            <w:r>
              <w:rPr>
                <w:rFonts w:hint="eastAsia" w:eastAsiaTheme="minorEastAsia"/>
                <w:color w:val="000000"/>
                <w:sz w:val="24"/>
                <w:szCs w:val="24"/>
              </w:rPr>
              <w:t>20</w:t>
            </w:r>
            <w:r>
              <w:rPr>
                <w:rFonts w:eastAsiaTheme="minorEastAsia"/>
                <w:color w:val="000000"/>
                <w:sz w:val="24"/>
                <w:szCs w:val="24"/>
              </w:rPr>
              <w:t>.</w:t>
            </w:r>
            <w:r>
              <w:rPr>
                <w:rFonts w:hint="eastAsia" w:eastAsiaTheme="minorEastAsia"/>
                <w:color w:val="000000"/>
                <w:sz w:val="24"/>
                <w:szCs w:val="24"/>
              </w:rPr>
              <w:t>4</w:t>
            </w:r>
            <w:r>
              <w:rPr>
                <w:rFonts w:eastAsiaTheme="minorEastAsia"/>
                <w:color w:val="000000"/>
                <w:sz w:val="24"/>
                <w:szCs w:val="24"/>
              </w:rPr>
              <w:t>.</w:t>
            </w:r>
            <w:r>
              <w:rPr>
                <w:rFonts w:hint="eastAsia" w:eastAsiaTheme="minorEastAsia"/>
                <w:color w:val="000000"/>
                <w:sz w:val="24"/>
                <w:szCs w:val="24"/>
              </w:rPr>
              <w:t>13</w:t>
            </w:r>
            <w:r>
              <w:rPr>
                <w:rFonts w:hAnsiTheme="minorEastAsia" w:eastAsiaTheme="minorEastAsia"/>
                <w:color w:val="000000"/>
                <w:sz w:val="24"/>
                <w:szCs w:val="24"/>
              </w:rPr>
              <w:t>日。</w:t>
            </w:r>
          </w:p>
          <w:p>
            <w:pPr>
              <w:spacing w:line="360" w:lineRule="auto"/>
              <w:ind w:firstLine="480" w:firstLineChars="200"/>
              <w:jc w:val="left"/>
              <w:rPr>
                <w:rFonts w:hAnsiTheme="minorEastAsia" w:eastAsiaTheme="minorEastAsia"/>
                <w:color w:val="000000"/>
                <w:sz w:val="24"/>
                <w:szCs w:val="24"/>
              </w:rPr>
            </w:pPr>
            <w:r>
              <w:rPr>
                <w:rFonts w:hAnsiTheme="minorEastAsia" w:eastAsiaTheme="minorEastAsia"/>
                <w:color w:val="000000"/>
                <w:sz w:val="24"/>
                <w:szCs w:val="24"/>
              </w:rPr>
              <w:t>财务部目标：</w:t>
            </w:r>
          </w:p>
          <w:p>
            <w:pPr>
              <w:spacing w:line="360" w:lineRule="auto"/>
              <w:ind w:firstLine="480" w:firstLineChars="200"/>
              <w:jc w:val="left"/>
              <w:rPr>
                <w:rFonts w:eastAsiaTheme="minorEastAsia"/>
                <w:color w:val="000000"/>
                <w:sz w:val="24"/>
                <w:szCs w:val="24"/>
              </w:rPr>
            </w:pPr>
            <w:r>
              <w:rPr>
                <w:rFonts w:hint="eastAsia" w:eastAsiaTheme="minorEastAsia"/>
                <w:color w:val="000000"/>
                <w:sz w:val="24"/>
                <w:szCs w:val="24"/>
              </w:rPr>
              <w:t>固废分类处置率100%；                                                100%</w:t>
            </w:r>
          </w:p>
          <w:p>
            <w:pPr>
              <w:spacing w:line="360" w:lineRule="auto"/>
              <w:ind w:firstLine="480" w:firstLineChars="200"/>
              <w:jc w:val="left"/>
              <w:rPr>
                <w:rFonts w:eastAsiaTheme="minorEastAsia"/>
                <w:color w:val="000000"/>
                <w:sz w:val="24"/>
                <w:szCs w:val="24"/>
              </w:rPr>
            </w:pPr>
            <w:r>
              <w:rPr>
                <w:rFonts w:hint="eastAsia" w:eastAsiaTheme="minorEastAsia"/>
                <w:color w:val="000000"/>
                <w:sz w:val="24"/>
                <w:szCs w:val="24"/>
              </w:rPr>
              <w:t>对用于环境与安全的经费，单独立账，完成率100%                         100%</w:t>
            </w:r>
          </w:p>
          <w:p>
            <w:pPr>
              <w:spacing w:line="360" w:lineRule="auto"/>
              <w:ind w:firstLine="480" w:firstLineChars="200"/>
              <w:jc w:val="left"/>
              <w:rPr>
                <w:rFonts w:eastAsiaTheme="minorEastAsia"/>
                <w:color w:val="000000"/>
                <w:sz w:val="24"/>
                <w:szCs w:val="24"/>
              </w:rPr>
            </w:pPr>
            <w:r>
              <w:rPr>
                <w:rFonts w:hint="eastAsia" w:eastAsiaTheme="minorEastAsia"/>
                <w:color w:val="000000"/>
                <w:sz w:val="24"/>
                <w:szCs w:val="24"/>
              </w:rPr>
              <w:t>火灾、触电事故为0                                                     0次</w:t>
            </w:r>
          </w:p>
          <w:p>
            <w:pPr>
              <w:spacing w:line="360" w:lineRule="auto"/>
              <w:ind w:firstLine="480" w:firstLineChars="200"/>
              <w:jc w:val="left"/>
              <w:rPr>
                <w:rFonts w:eastAsiaTheme="minorEastAsia"/>
                <w:color w:val="000000"/>
                <w:sz w:val="24"/>
                <w:szCs w:val="24"/>
              </w:rPr>
            </w:pPr>
            <w:r>
              <w:rPr>
                <w:rFonts w:hAnsiTheme="minorEastAsia" w:eastAsiaTheme="minorEastAsia"/>
                <w:color w:val="000000"/>
                <w:sz w:val="24"/>
                <w:szCs w:val="24"/>
              </w:rPr>
              <w:t>目标已实现，目标建立基本满足要求，适宜。</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spacing w:line="360" w:lineRule="auto"/>
              <w:rPr>
                <w:rFonts w:eastAsiaTheme="minorEastAsia"/>
                <w:sz w:val="24"/>
                <w:szCs w:val="24"/>
              </w:rPr>
            </w:pPr>
            <w:r>
              <w:rPr>
                <w:rFonts w:hAnsiTheme="minorEastAsia" w:eastAsiaTheme="minorEastAsia"/>
                <w:sz w:val="24"/>
                <w:szCs w:val="24"/>
              </w:rPr>
              <w:t>环境因素、危险源辨识与评价</w:t>
            </w:r>
          </w:p>
          <w:p>
            <w:pPr>
              <w:rPr>
                <w:rFonts w:eastAsiaTheme="minorEastAsia"/>
                <w:sz w:val="24"/>
                <w:szCs w:val="24"/>
              </w:rPr>
            </w:pPr>
          </w:p>
        </w:tc>
        <w:tc>
          <w:tcPr>
            <w:tcW w:w="960" w:type="dxa"/>
            <w:vAlign w:val="center"/>
          </w:tcPr>
          <w:p>
            <w:pPr>
              <w:spacing w:line="360" w:lineRule="auto"/>
              <w:rPr>
                <w:rFonts w:eastAsiaTheme="minorEastAsia"/>
                <w:sz w:val="24"/>
                <w:szCs w:val="24"/>
              </w:rPr>
            </w:pPr>
            <w:r>
              <w:rPr>
                <w:rFonts w:eastAsiaTheme="minorEastAsia"/>
                <w:sz w:val="24"/>
                <w:szCs w:val="24"/>
              </w:rPr>
              <w:t xml:space="preserve">E6.1.2 </w:t>
            </w:r>
          </w:p>
          <w:p>
            <w:pPr>
              <w:spacing w:line="360" w:lineRule="auto"/>
              <w:rPr>
                <w:rFonts w:eastAsiaTheme="minorEastAsia"/>
                <w:sz w:val="24"/>
                <w:szCs w:val="24"/>
              </w:rPr>
            </w:pPr>
          </w:p>
        </w:tc>
        <w:tc>
          <w:tcPr>
            <w:tcW w:w="10596" w:type="dxa"/>
          </w:tcPr>
          <w:p>
            <w:pPr>
              <w:tabs>
                <w:tab w:val="left" w:pos="6597"/>
              </w:tabs>
              <w:spacing w:line="360" w:lineRule="auto"/>
              <w:ind w:firstLine="480" w:firstLineChars="200"/>
              <w:rPr>
                <w:rFonts w:eastAsiaTheme="minorEastAsia"/>
                <w:color w:val="000000"/>
                <w:sz w:val="24"/>
                <w:szCs w:val="24"/>
              </w:rPr>
            </w:pPr>
            <w:r>
              <w:rPr>
                <w:rFonts w:hAnsiTheme="minorEastAsia" w:eastAsiaTheme="minorEastAsia"/>
                <w:sz w:val="24"/>
                <w:szCs w:val="24"/>
              </w:rPr>
              <w:t>查有</w:t>
            </w:r>
            <w:r>
              <w:rPr>
                <w:rFonts w:hAnsiTheme="minorEastAsia" w:eastAsiaTheme="minorEastAsia"/>
                <w:color w:val="000000"/>
                <w:sz w:val="24"/>
                <w:szCs w:val="24"/>
              </w:rPr>
              <w:t>：《环境因素和危险源识别评价与控制程序》。</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查有：《环境因素和危险源识别评价与控制程序》</w:t>
            </w:r>
            <w:r>
              <w:rPr>
                <w:rFonts w:eastAsiaTheme="minorEastAsia"/>
                <w:sz w:val="24"/>
                <w:szCs w:val="24"/>
              </w:rPr>
              <w:t>,</w:t>
            </w:r>
            <w:r>
              <w:rPr>
                <w:rFonts w:hAnsiTheme="minorEastAsia" w:eastAsiaTheme="minorEastAsia"/>
                <w:sz w:val="24"/>
                <w:szCs w:val="24"/>
              </w:rPr>
              <w:t>财务部按照办公过程对环境因素、危险源进行了辨识，辨识时考虑了三种时态：过去、现在和将来，和三种状态：正常、异常和紧急。</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查财务部的</w:t>
            </w:r>
            <w:r>
              <w:rPr>
                <w:rFonts w:eastAsiaTheme="minorEastAsia"/>
                <w:sz w:val="24"/>
                <w:szCs w:val="24"/>
              </w:rPr>
              <w:t>“</w:t>
            </w:r>
            <w:r>
              <w:rPr>
                <w:rFonts w:hAnsiTheme="minorEastAsia" w:eastAsiaTheme="minorEastAsia"/>
                <w:sz w:val="24"/>
                <w:szCs w:val="24"/>
              </w:rPr>
              <w:t>环境因素识别评价汇总表</w:t>
            </w:r>
            <w:r>
              <w:rPr>
                <w:rFonts w:eastAsiaTheme="minorEastAsia"/>
                <w:sz w:val="24"/>
                <w:szCs w:val="24"/>
              </w:rPr>
              <w:t>”</w:t>
            </w:r>
            <w:r>
              <w:rPr>
                <w:rFonts w:hAnsiTheme="minorEastAsia" w:eastAsiaTheme="minorEastAsia"/>
                <w:sz w:val="24"/>
                <w:szCs w:val="24"/>
              </w:rPr>
              <w:t>，识别了本部门在办公等各有关过程的环境因素，包括日光灯更换、电脑使用用电消耗、办公纸张排放等环境因素，识别时能考虑产品生命周期观点。</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查《重要环境因素清单》，涉及财务部有</w:t>
            </w:r>
            <w:r>
              <w:rPr>
                <w:rFonts w:eastAsiaTheme="minorEastAsia"/>
                <w:sz w:val="24"/>
                <w:szCs w:val="24"/>
              </w:rPr>
              <w:t>2</w:t>
            </w:r>
            <w:r>
              <w:rPr>
                <w:rFonts w:hAnsiTheme="minorEastAsia" w:eastAsiaTheme="minorEastAsia"/>
                <w:sz w:val="24"/>
                <w:szCs w:val="24"/>
              </w:rPr>
              <w:t>项重要环境因素，包括：潜在火灾、固体废弃物的排放。</w:t>
            </w:r>
          </w:p>
          <w:p>
            <w:pPr>
              <w:tabs>
                <w:tab w:val="left" w:pos="6597"/>
              </w:tabs>
              <w:spacing w:line="360" w:lineRule="auto"/>
              <w:ind w:firstLine="480" w:firstLineChars="200"/>
              <w:rPr>
                <w:rFonts w:eastAsiaTheme="minorEastAsia"/>
                <w:sz w:val="24"/>
                <w:szCs w:val="24"/>
              </w:rPr>
            </w:pPr>
            <w:r>
              <w:rPr>
                <w:rFonts w:hAnsiTheme="minorEastAsia" w:eastAsiaTheme="minorEastAsia"/>
                <w:sz w:val="24"/>
                <w:szCs w:val="24"/>
              </w:rPr>
              <w:t>控制措施：固废分类存放、垃圾等由行政部负责按规定处置，包装物分类卖掉，日常检查、培训教育，配备有消防器材、制定应急预案等措施。</w:t>
            </w:r>
          </w:p>
          <w:p>
            <w:pPr>
              <w:tabs>
                <w:tab w:val="left" w:pos="6597"/>
              </w:tabs>
              <w:spacing w:line="360" w:lineRule="auto"/>
              <w:ind w:firstLine="480" w:firstLineChars="200"/>
              <w:rPr>
                <w:rFonts w:eastAsiaTheme="minorEastAsia"/>
                <w:color w:val="000000"/>
                <w:sz w:val="24"/>
                <w:szCs w:val="24"/>
              </w:rPr>
            </w:pPr>
            <w:r>
              <w:rPr>
                <w:rFonts w:hAnsiTheme="minorEastAsia" w:eastAsiaTheme="minorEastAsia"/>
                <w:color w:val="000000"/>
                <w:sz w:val="24"/>
                <w:szCs w:val="24"/>
              </w:rPr>
              <w:t>提供了《职业安全健康管理体系危害辨识、风险评价、风险控制工作表》，识别了办公过程</w:t>
            </w:r>
            <w:r>
              <w:rPr>
                <w:rFonts w:hint="eastAsia" w:hAnsiTheme="minorEastAsia" w:eastAsiaTheme="minorEastAsia"/>
                <w:color w:val="000000"/>
                <w:sz w:val="24"/>
                <w:szCs w:val="24"/>
              </w:rPr>
              <w:t>涉及危险源有办公活动过程中烟头未熄灭直接扔到纸篓中导致潜在火灾、违规用电触电/火灾、地面湿滑导致摔伤，违反交通规则导致意外等。</w:t>
            </w:r>
          </w:p>
          <w:p>
            <w:pPr>
              <w:tabs>
                <w:tab w:val="left" w:pos="6597"/>
              </w:tabs>
              <w:spacing w:line="360" w:lineRule="auto"/>
              <w:ind w:firstLine="480" w:firstLineChars="200"/>
              <w:rPr>
                <w:rFonts w:eastAsiaTheme="minorEastAsia"/>
                <w:color w:val="000000"/>
                <w:sz w:val="24"/>
                <w:szCs w:val="24"/>
              </w:rPr>
            </w:pPr>
            <w:r>
              <w:rPr>
                <w:rFonts w:hAnsiTheme="minorEastAsia" w:eastAsiaTheme="minorEastAsia"/>
                <w:color w:val="000000"/>
                <w:sz w:val="24"/>
                <w:szCs w:val="24"/>
              </w:rPr>
              <w:t>查财务部重大危险源：触电、火灾事故的发生。</w:t>
            </w:r>
          </w:p>
          <w:p>
            <w:pPr>
              <w:spacing w:line="360" w:lineRule="auto"/>
              <w:ind w:firstLine="480" w:firstLineChars="200"/>
              <w:rPr>
                <w:rFonts w:eastAsiaTheme="minorEastAsia"/>
                <w:sz w:val="24"/>
                <w:szCs w:val="24"/>
              </w:rPr>
            </w:pPr>
            <w:r>
              <w:rPr>
                <w:rFonts w:hAnsiTheme="minorEastAsia" w:eastAsiaTheme="minorEastAsia"/>
                <w:color w:val="000000"/>
                <w:sz w:val="24"/>
                <w:szCs w:val="24"/>
              </w:rPr>
              <w:t>对于重大危险源的控制，通过日常检查、目标、管理方案、运行控制、应急预案等控制方式。</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vAlign w:val="center"/>
          </w:tcPr>
          <w:p>
            <w:pPr>
              <w:rPr>
                <w:rFonts w:eastAsiaTheme="minorEastAsia"/>
                <w:sz w:val="24"/>
                <w:szCs w:val="24"/>
              </w:rPr>
            </w:pPr>
            <w:r>
              <w:rPr>
                <w:rFonts w:hAnsiTheme="minorEastAsia" w:eastAsiaTheme="minorEastAsia"/>
                <w:sz w:val="24"/>
                <w:szCs w:val="24"/>
              </w:rPr>
              <w:t>运行策划和控制</w:t>
            </w:r>
          </w:p>
        </w:tc>
        <w:tc>
          <w:tcPr>
            <w:tcW w:w="960" w:type="dxa"/>
            <w:vAlign w:val="center"/>
          </w:tcPr>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r>
              <w:rPr>
                <w:rFonts w:hAnsiTheme="minorEastAsia" w:eastAsiaTheme="minorEastAsia"/>
                <w:sz w:val="24"/>
                <w:szCs w:val="24"/>
              </w:rPr>
              <w:t>E</w:t>
            </w:r>
            <w:r>
              <w:rPr>
                <w:rFonts w:eastAsiaTheme="minorEastAsia"/>
                <w:sz w:val="24"/>
                <w:szCs w:val="24"/>
              </w:rPr>
              <w:t>8.1</w:t>
            </w:r>
          </w:p>
          <w:p>
            <w:pPr>
              <w:spacing w:line="360" w:lineRule="auto"/>
              <w:rPr>
                <w:rFonts w:eastAsiaTheme="minorEastAsia"/>
                <w:sz w:val="24"/>
                <w:szCs w:val="24"/>
              </w:rPr>
            </w:pPr>
          </w:p>
          <w:p>
            <w:pPr>
              <w:spacing w:line="360" w:lineRule="auto"/>
              <w:rPr>
                <w:rFonts w:eastAsiaTheme="minorEastAsia"/>
                <w:sz w:val="24"/>
                <w:szCs w:val="24"/>
              </w:rPr>
            </w:pPr>
          </w:p>
        </w:tc>
        <w:tc>
          <w:tcPr>
            <w:tcW w:w="10596" w:type="dxa"/>
            <w:vAlign w:val="center"/>
          </w:tcPr>
          <w:p>
            <w:pPr>
              <w:spacing w:line="360" w:lineRule="auto"/>
              <w:ind w:firstLine="480" w:firstLineChars="200"/>
              <w:rPr>
                <w:rFonts w:eastAsiaTheme="minorEastAsia"/>
                <w:sz w:val="24"/>
                <w:szCs w:val="24"/>
              </w:rPr>
            </w:pPr>
            <w:r>
              <w:rPr>
                <w:rFonts w:hAnsiTheme="minorEastAsia" w:eastAsiaTheme="minorEastAsia"/>
                <w:sz w:val="24"/>
                <w:szCs w:val="24"/>
              </w:rPr>
              <w:t>财务办公室内主要是电的使用，电器有漏电保护器，经常对电路、电源进行检查，没有露电现象发生。</w:t>
            </w:r>
          </w:p>
          <w:p>
            <w:pPr>
              <w:spacing w:line="360" w:lineRule="auto"/>
              <w:ind w:firstLine="480" w:firstLineChars="200"/>
              <w:rPr>
                <w:rFonts w:hAnsiTheme="minorEastAsia" w:eastAsiaTheme="minorEastAsia"/>
                <w:sz w:val="24"/>
                <w:szCs w:val="24"/>
              </w:rPr>
            </w:pPr>
            <w:r>
              <w:rPr>
                <w:rFonts w:hAnsiTheme="minorEastAsia" w:eastAsiaTheme="minorEastAsia"/>
                <w:sz w:val="24"/>
                <w:szCs w:val="24"/>
              </w:rPr>
              <w:t>对可回收的固体废弃物，一部分由厂家回收，厂家不回收的公司统一回收再利用或由物资回收公司处理，不可回收的废弃物由公司行政部统一处理，部门不单独处理</w:t>
            </w:r>
          </w:p>
          <w:p>
            <w:pPr>
              <w:spacing w:line="360" w:lineRule="auto"/>
              <w:ind w:firstLine="480" w:firstLineChars="200"/>
              <w:rPr>
                <w:rFonts w:eastAsiaTheme="minorEastAsia"/>
                <w:sz w:val="24"/>
                <w:szCs w:val="24"/>
              </w:rPr>
            </w:pPr>
            <w:r>
              <w:rPr>
                <w:rFonts w:hAnsiTheme="minorEastAsia" w:eastAsiaTheme="minorEastAsia"/>
                <w:sz w:val="24"/>
                <w:szCs w:val="24"/>
              </w:rPr>
              <w:t>现场巡视办公区域有垃圾桶，电线、电气插座完整，未见破损。</w:t>
            </w:r>
          </w:p>
          <w:p>
            <w:pPr>
              <w:spacing w:line="360" w:lineRule="auto"/>
              <w:ind w:firstLine="480" w:firstLineChars="200"/>
              <w:rPr>
                <w:rFonts w:eastAsiaTheme="minorEastAsia"/>
                <w:sz w:val="24"/>
                <w:szCs w:val="24"/>
              </w:rPr>
            </w:pPr>
            <w:r>
              <w:rPr>
                <w:rFonts w:hAnsiTheme="minorEastAsia" w:eastAsiaTheme="minorEastAsia"/>
                <w:sz w:val="24"/>
                <w:szCs w:val="24"/>
              </w:rPr>
              <w:t>查见</w:t>
            </w:r>
            <w:r>
              <w:rPr>
                <w:rFonts w:hint="eastAsia" w:eastAsiaTheme="minorEastAsia"/>
                <w:sz w:val="24"/>
                <w:szCs w:val="24"/>
              </w:rPr>
              <w:t>2019年度10月份至今</w:t>
            </w:r>
            <w:r>
              <w:rPr>
                <w:rFonts w:hAnsiTheme="minorEastAsia" w:eastAsiaTheme="minorEastAsia"/>
                <w:sz w:val="24"/>
                <w:szCs w:val="24"/>
              </w:rPr>
              <w:t>财务大概费用，员工保险、社保</w:t>
            </w:r>
            <w:r>
              <w:rPr>
                <w:rFonts w:hint="eastAsia" w:hAnsiTheme="minorEastAsia" w:eastAsiaTheme="minorEastAsia"/>
                <w:sz w:val="24"/>
                <w:szCs w:val="24"/>
              </w:rPr>
              <w:t>35万</w:t>
            </w:r>
            <w:r>
              <w:rPr>
                <w:rFonts w:hAnsiTheme="minorEastAsia" w:eastAsiaTheme="minorEastAsia"/>
                <w:sz w:val="24"/>
                <w:szCs w:val="24"/>
              </w:rPr>
              <w:t>元、安全教育培训费</w:t>
            </w:r>
            <w:r>
              <w:rPr>
                <w:rFonts w:hint="eastAsia" w:eastAsiaTheme="minorEastAsia"/>
                <w:sz w:val="24"/>
                <w:szCs w:val="24"/>
              </w:rPr>
              <w:t>2.2万</w:t>
            </w:r>
            <w:r>
              <w:rPr>
                <w:rFonts w:hAnsiTheme="minorEastAsia" w:eastAsiaTheme="minorEastAsia"/>
                <w:sz w:val="24"/>
                <w:szCs w:val="24"/>
              </w:rPr>
              <w:t>元、消防设备</w:t>
            </w:r>
            <w:r>
              <w:rPr>
                <w:rFonts w:hint="eastAsia" w:eastAsiaTheme="minorEastAsia"/>
                <w:sz w:val="24"/>
                <w:szCs w:val="24"/>
              </w:rPr>
              <w:t>8.3万</w:t>
            </w:r>
            <w:r>
              <w:rPr>
                <w:rFonts w:hAnsiTheme="minorEastAsia" w:eastAsiaTheme="minorEastAsia"/>
                <w:sz w:val="24"/>
                <w:szCs w:val="24"/>
              </w:rPr>
              <w:t>元、劳保用品</w:t>
            </w:r>
            <w:r>
              <w:rPr>
                <w:rFonts w:hint="eastAsia" w:eastAsiaTheme="minorEastAsia"/>
                <w:sz w:val="24"/>
                <w:szCs w:val="24"/>
              </w:rPr>
              <w:t>3万</w:t>
            </w:r>
            <w:r>
              <w:rPr>
                <w:rFonts w:hAnsiTheme="minorEastAsia" w:eastAsiaTheme="minorEastAsia"/>
                <w:sz w:val="24"/>
                <w:szCs w:val="24"/>
              </w:rPr>
              <w:t>元等。</w:t>
            </w:r>
          </w:p>
          <w:p>
            <w:pPr>
              <w:spacing w:line="360" w:lineRule="auto"/>
              <w:ind w:firstLine="480" w:firstLineChars="200"/>
              <w:rPr>
                <w:rFonts w:eastAsiaTheme="minorEastAsia"/>
                <w:sz w:val="24"/>
                <w:szCs w:val="24"/>
              </w:rPr>
            </w:pPr>
            <w:r>
              <w:rPr>
                <w:rFonts w:hAnsiTheme="minorEastAsia" w:eastAsiaTheme="minorEastAsia"/>
                <w:sz w:val="24"/>
                <w:szCs w:val="24"/>
              </w:rPr>
              <w:t>查到</w:t>
            </w:r>
            <w:r>
              <w:rPr>
                <w:rFonts w:hint="eastAsia" w:hAnsiTheme="minorEastAsia" w:eastAsiaTheme="minorEastAsia"/>
                <w:sz w:val="24"/>
                <w:szCs w:val="24"/>
              </w:rPr>
              <w:t>2020年度</w:t>
            </w:r>
            <w:r>
              <w:rPr>
                <w:rFonts w:hAnsiTheme="minorEastAsia" w:eastAsiaTheme="minorEastAsia"/>
                <w:sz w:val="24"/>
                <w:szCs w:val="24"/>
              </w:rPr>
              <w:t>社保缴费证明，</w:t>
            </w:r>
          </w:p>
          <w:p>
            <w:pPr>
              <w:spacing w:line="360" w:lineRule="auto"/>
              <w:ind w:firstLine="480" w:firstLineChars="200"/>
              <w:rPr>
                <w:rFonts w:eastAsiaTheme="minorEastAsia"/>
                <w:sz w:val="24"/>
                <w:szCs w:val="24"/>
              </w:rPr>
            </w:pPr>
            <w:r>
              <w:rPr>
                <w:rFonts w:eastAsiaTheme="minorEastAsia"/>
                <w:sz w:val="24"/>
                <w:szCs w:val="24"/>
              </w:rPr>
              <w:drawing>
                <wp:inline distT="0" distB="0" distL="0" distR="0">
                  <wp:extent cx="4381500" cy="2524125"/>
                  <wp:effectExtent l="19050" t="0" r="0" b="0"/>
                  <wp:docPr id="2" name="图片 1" descr="C:\Users\ADMINI~1.USE\AppData\Local\Temp\15897851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USE\AppData\Local\Temp\1589785152(1).png"/>
                          <pic:cNvPicPr>
                            <a:picLocks noChangeAspect="1" noChangeArrowheads="1"/>
                          </pic:cNvPicPr>
                        </pic:nvPicPr>
                        <pic:blipFill>
                          <a:blip r:embed="rId6"/>
                          <a:srcRect/>
                          <a:stretch>
                            <a:fillRect/>
                          </a:stretch>
                        </pic:blipFill>
                        <pic:spPr>
                          <a:xfrm>
                            <a:off x="0" y="0"/>
                            <a:ext cx="4381500" cy="2524497"/>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sz w:val="24"/>
                <w:szCs w:val="24"/>
              </w:rPr>
            </w:pPr>
            <w:r>
              <w:rPr>
                <w:rFonts w:eastAsiaTheme="minorEastAsia"/>
                <w:sz w:val="24"/>
                <w:szCs w:val="24"/>
              </w:rPr>
              <w:drawing>
                <wp:inline distT="0" distB="0" distL="0" distR="0">
                  <wp:extent cx="4409440" cy="2438400"/>
                  <wp:effectExtent l="19050" t="0" r="0" b="0"/>
                  <wp:docPr id="3" name="图片 2" descr="C:\Users\ADMINI~1.USE\AppData\Local\Temp\1589785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1.USE\AppData\Local\Temp\1589785212(1).png"/>
                          <pic:cNvPicPr>
                            <a:picLocks noChangeAspect="1" noChangeArrowheads="1"/>
                          </pic:cNvPicPr>
                        </pic:nvPicPr>
                        <pic:blipFill>
                          <a:blip r:embed="rId7"/>
                          <a:srcRect/>
                          <a:stretch>
                            <a:fillRect/>
                          </a:stretch>
                        </pic:blipFill>
                        <pic:spPr>
                          <a:xfrm>
                            <a:off x="0" y="0"/>
                            <a:ext cx="4409872" cy="2438400"/>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sz w:val="24"/>
                <w:szCs w:val="24"/>
              </w:rPr>
            </w:pPr>
            <w:r>
              <w:rPr>
                <w:rFonts w:eastAsiaTheme="minorEastAsia"/>
                <w:sz w:val="24"/>
                <w:szCs w:val="24"/>
              </w:rPr>
              <w:drawing>
                <wp:inline distT="0" distB="0" distL="0" distR="0">
                  <wp:extent cx="4187190" cy="2266950"/>
                  <wp:effectExtent l="19050" t="0" r="3577" b="0"/>
                  <wp:docPr id="5" name="图片 3" descr="C:\Users\ADMINI~1.USE\AppData\Local\Temp\15897852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1.USE\AppData\Local\Temp\1589785299(1).png"/>
                          <pic:cNvPicPr>
                            <a:picLocks noChangeAspect="1" noChangeArrowheads="1"/>
                          </pic:cNvPicPr>
                        </pic:nvPicPr>
                        <pic:blipFill>
                          <a:blip r:embed="rId8"/>
                          <a:srcRect/>
                          <a:stretch>
                            <a:fillRect/>
                          </a:stretch>
                        </pic:blipFill>
                        <pic:spPr>
                          <a:xfrm>
                            <a:off x="0" y="0"/>
                            <a:ext cx="4187423" cy="2266950"/>
                          </a:xfrm>
                          <a:prstGeom prst="rect">
                            <a:avLst/>
                          </a:prstGeom>
                          <a:noFill/>
                          <a:ln w="9525">
                            <a:noFill/>
                            <a:miter lim="800000"/>
                            <a:headEnd/>
                            <a:tailEnd/>
                          </a:ln>
                        </pic:spPr>
                      </pic:pic>
                    </a:graphicData>
                  </a:graphic>
                </wp:inline>
              </w:drawing>
            </w:r>
          </w:p>
          <w:p>
            <w:pPr>
              <w:spacing w:line="360" w:lineRule="auto"/>
              <w:ind w:firstLine="480" w:firstLineChars="200"/>
              <w:rPr>
                <w:rFonts w:eastAsiaTheme="minorEastAsia"/>
                <w:sz w:val="24"/>
                <w:szCs w:val="24"/>
              </w:rPr>
            </w:pPr>
          </w:p>
          <w:p>
            <w:pPr>
              <w:spacing w:line="360" w:lineRule="auto"/>
              <w:ind w:firstLine="480" w:firstLineChars="200"/>
              <w:rPr>
                <w:rFonts w:eastAsiaTheme="minorEastAsia"/>
                <w:sz w:val="24"/>
                <w:szCs w:val="24"/>
              </w:rPr>
            </w:pPr>
            <w:r>
              <w:rPr>
                <w:rFonts w:hAnsiTheme="minorEastAsia" w:eastAsiaTheme="minorEastAsia"/>
                <w:sz w:val="24"/>
                <w:szCs w:val="24"/>
              </w:rPr>
              <w:t>财务部部门运行控制基本符合规定要求。</w:t>
            </w:r>
          </w:p>
        </w:tc>
        <w:tc>
          <w:tcPr>
            <w:tcW w:w="993" w:type="dxa"/>
          </w:tcPr>
          <w:p>
            <w:pPr>
              <w:rPr>
                <w:rFonts w:eastAsiaTheme="minorEastAsia"/>
                <w:sz w:val="24"/>
                <w:szCs w:val="24"/>
              </w:rPr>
            </w:pPr>
            <w:r>
              <w:rPr>
                <w:rFonts w:eastAsiaTheme="min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60" w:type="dxa"/>
            <w:vAlign w:val="center"/>
          </w:tcPr>
          <w:p>
            <w:pPr>
              <w:rPr>
                <w:rFonts w:eastAsiaTheme="minorEastAsia"/>
                <w:sz w:val="24"/>
                <w:szCs w:val="24"/>
              </w:rPr>
            </w:pPr>
            <w:r>
              <w:rPr>
                <w:rFonts w:hAnsiTheme="minorEastAsia" w:eastAsiaTheme="minorEastAsia"/>
                <w:sz w:val="24"/>
                <w:szCs w:val="24"/>
              </w:rPr>
              <w:t>应急准备和响应</w:t>
            </w:r>
          </w:p>
        </w:tc>
        <w:tc>
          <w:tcPr>
            <w:tcW w:w="960" w:type="dxa"/>
            <w:vAlign w:val="center"/>
          </w:tcPr>
          <w:p>
            <w:pPr>
              <w:rPr>
                <w:rFonts w:eastAsiaTheme="minorEastAsia"/>
                <w:sz w:val="24"/>
                <w:szCs w:val="24"/>
              </w:rPr>
            </w:pPr>
            <w:r>
              <w:rPr>
                <w:rFonts w:eastAsiaTheme="minorEastAsia"/>
                <w:sz w:val="24"/>
                <w:szCs w:val="24"/>
              </w:rPr>
              <w:t>E</w:t>
            </w:r>
            <w:r>
              <w:rPr>
                <w:rFonts w:hint="eastAsia" w:eastAsiaTheme="minorEastAsia"/>
                <w:sz w:val="24"/>
                <w:szCs w:val="24"/>
              </w:rPr>
              <w:t>8.2</w:t>
            </w:r>
          </w:p>
        </w:tc>
        <w:tc>
          <w:tcPr>
            <w:tcW w:w="10596" w:type="dxa"/>
            <w:vAlign w:val="center"/>
          </w:tcPr>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编制了《应急准备和响应程序》，</w:t>
            </w:r>
            <w:r>
              <w:rPr>
                <w:rFonts w:hAnsiTheme="minorEastAsia" w:eastAsiaTheme="minorEastAsia"/>
                <w:sz w:val="24"/>
                <w:szCs w:val="24"/>
              </w:rPr>
              <w:t>确定的紧急情况有：火灾、触电等。</w:t>
            </w:r>
            <w:r>
              <w:rPr>
                <w:rFonts w:hint="eastAsia" w:hAnsiTheme="minorEastAsia" w:eastAsiaTheme="minorEastAsia"/>
                <w:sz w:val="24"/>
                <w:szCs w:val="24"/>
              </w:rPr>
              <w:t>建立了火灾、触电、机械伤害等应急预案，由生产部组织演练。</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查看了火灾应急预案演习记录，演练时间  2020年1月7日</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负责人：余淮清</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参加人：行政部、生产部、采购部、市场部、技术部、财务部、车间工人</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演练的效果</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1、组织指挥有序，项目岗位配合较好，达到了预定目标，演练的效果较好。</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2、人员的速度较快，及时按照预定方案对事故处理人员进行保护。</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3、各参训人员着装整齐，装备佩戴完整，精神饱满。</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4、处理事故得当，速度较快，分工明确，能各负其责</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演练达到了目的。有效。</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再查触电应急演练记录，情况同上。</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针对近期出现的新型冠状病毒引发的肺炎疫情，公司制定了疫情防控预案，公司有进行返岗人员健康报备管理、每日人员出入登记/量体温/戴口罩、是否发热、等，严格按政府和预案的要求执行。</w:t>
            </w:r>
          </w:p>
          <w:p>
            <w:pPr>
              <w:tabs>
                <w:tab w:val="left" w:pos="6597"/>
              </w:tabs>
              <w:spacing w:line="360" w:lineRule="auto"/>
              <w:ind w:firstLine="480" w:firstLineChars="200"/>
              <w:rPr>
                <w:rFonts w:hAnsiTheme="minorEastAsia" w:eastAsiaTheme="minorEastAsia"/>
                <w:sz w:val="24"/>
                <w:szCs w:val="24"/>
              </w:rPr>
            </w:pPr>
            <w:r>
              <w:rPr>
                <w:rFonts w:hint="eastAsia" w:hAnsiTheme="minorEastAsia" w:eastAsiaTheme="minorEastAsia"/>
                <w:sz w:val="24"/>
                <w:szCs w:val="24"/>
              </w:rPr>
              <w:t>自体系运行以来尚未发生紧急情况。</w:t>
            </w:r>
          </w:p>
          <w:p>
            <w:pPr>
              <w:spacing w:line="360" w:lineRule="auto"/>
              <w:ind w:firstLine="480" w:firstLineChars="200"/>
              <w:rPr>
                <w:rFonts w:eastAsiaTheme="minorEastAsia"/>
                <w:sz w:val="24"/>
                <w:szCs w:val="24"/>
              </w:rPr>
            </w:pPr>
          </w:p>
        </w:tc>
        <w:tc>
          <w:tcPr>
            <w:tcW w:w="993" w:type="dxa"/>
          </w:tcPr>
          <w:p>
            <w:pPr>
              <w:rPr>
                <w:rFonts w:eastAsiaTheme="minorEastAsia"/>
                <w:sz w:val="24"/>
                <w:szCs w:val="24"/>
              </w:rPr>
            </w:pPr>
            <w:r>
              <w:rPr>
                <w:rFonts w:eastAsiaTheme="minorEastAsia"/>
                <w:sz w:val="24"/>
                <w:szCs w:val="24"/>
              </w:rPr>
              <w:t>合格</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文本框 1" o:spid="_x0000_s2049"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1673B"/>
    <w:rsid w:val="0004360F"/>
    <w:rsid w:val="000845D4"/>
    <w:rsid w:val="00105617"/>
    <w:rsid w:val="0013736C"/>
    <w:rsid w:val="0015146F"/>
    <w:rsid w:val="002C36D8"/>
    <w:rsid w:val="002C3EB4"/>
    <w:rsid w:val="0032278B"/>
    <w:rsid w:val="00341BCC"/>
    <w:rsid w:val="003A46D4"/>
    <w:rsid w:val="003C79F1"/>
    <w:rsid w:val="00424B6B"/>
    <w:rsid w:val="00452320"/>
    <w:rsid w:val="004A4F7E"/>
    <w:rsid w:val="004B0361"/>
    <w:rsid w:val="0050678E"/>
    <w:rsid w:val="0052250C"/>
    <w:rsid w:val="005B4B22"/>
    <w:rsid w:val="006E5A50"/>
    <w:rsid w:val="006E6D29"/>
    <w:rsid w:val="0075437D"/>
    <w:rsid w:val="00803A7C"/>
    <w:rsid w:val="00882344"/>
    <w:rsid w:val="00911238"/>
    <w:rsid w:val="00981736"/>
    <w:rsid w:val="00A332AF"/>
    <w:rsid w:val="00AF3FA3"/>
    <w:rsid w:val="00B62038"/>
    <w:rsid w:val="00B64094"/>
    <w:rsid w:val="00B73F7E"/>
    <w:rsid w:val="00C1673B"/>
    <w:rsid w:val="00C73671"/>
    <w:rsid w:val="00C95250"/>
    <w:rsid w:val="00CE06FB"/>
    <w:rsid w:val="00CE4646"/>
    <w:rsid w:val="00CF202C"/>
    <w:rsid w:val="00D14D82"/>
    <w:rsid w:val="00D725BB"/>
    <w:rsid w:val="00D800A3"/>
    <w:rsid w:val="00D872B0"/>
    <w:rsid w:val="00DD42E7"/>
    <w:rsid w:val="00EB2AFC"/>
    <w:rsid w:val="00F325A4"/>
    <w:rsid w:val="00FD3152"/>
    <w:rsid w:val="0B6913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Times New Roman" w:hAnsi="Times New Roman" w:eastAsia="宋体" w:cs="Times New Roman"/>
      <w:sz w:val="18"/>
      <w:szCs w:val="18"/>
    </w:rPr>
  </w:style>
  <w:style w:type="character" w:customStyle="1" w:styleId="9">
    <w:name w:val="页脚 Char"/>
    <w:basedOn w:val="7"/>
    <w:link w:val="3"/>
    <w:uiPriority w:val="99"/>
    <w:rPr>
      <w:rFonts w:ascii="Times New Roman" w:hAnsi="Times New Roman" w:eastAsia="宋体" w:cs="Times New Roman"/>
      <w:sz w:val="18"/>
      <w:szCs w:val="18"/>
    </w:rPr>
  </w:style>
  <w:style w:type="character" w:customStyle="1" w:styleId="10">
    <w:name w:val="批注框文本 Char"/>
    <w:basedOn w:val="7"/>
    <w:link w:val="2"/>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Words>
  <Characters>1430</Characters>
  <Lines>11</Lines>
  <Paragraphs>3</Paragraphs>
  <TotalTime>1</TotalTime>
  <ScaleCrop>false</ScaleCrop>
  <LinksUpToDate>false</LinksUpToDate>
  <CharactersWithSpaces>1677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小小</cp:lastModifiedBy>
  <dcterms:modified xsi:type="dcterms:W3CDTF">2020-05-20T01:05:32Z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