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恩施昊恒建材有限公司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温红玲</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