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0179-2020-QEO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山东大正机械装备有限公司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Q:17.10.02</w:t>
            </w:r>
          </w:p>
          <w:p>
            <w:pPr>
              <w:spacing w:line="240" w:lineRule="exact"/>
              <w:jc w:val="center"/>
              <w:rPr>
                <w:b/>
                <w:color w:val="000000"/>
                <w:sz w:val="20"/>
                <w:szCs w:val="20"/>
              </w:rPr>
            </w:pPr>
            <w:r>
              <w:rPr>
                <w:b/>
                <w:color w:val="000000"/>
                <w:sz w:val="20"/>
                <w:szCs w:val="20"/>
              </w:rPr>
              <w:t>E:17.10.02</w:t>
            </w:r>
          </w:p>
          <w:p>
            <w:pPr>
              <w:spacing w:line="240" w:lineRule="exact"/>
              <w:jc w:val="center"/>
              <w:rPr>
                <w:b/>
                <w:color w:val="000000"/>
                <w:sz w:val="20"/>
                <w:szCs w:val="20"/>
              </w:rPr>
            </w:pPr>
            <w:r>
              <w:rPr>
                <w:b/>
                <w:color w:val="000000"/>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hint="eastAsia" w:ascii="宋体" w:hAnsi="宋体"/>
          <w:b/>
          <w:sz w:val="21"/>
          <w:szCs w:val="21"/>
        </w:rPr>
        <w:t>GB/T45001—2020/ISO 45001:2018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tabs>
          <w:tab w:val="center" w:pos="4956"/>
        </w:tabs>
        <w:spacing w:line="300" w:lineRule="auto"/>
        <w:ind w:left="420" w:leftChars="200"/>
        <w:rPr>
          <w:rFonts w:hint="eastAsia" w:ascii="宋体" w:eastAsia="宋体"/>
          <w:b/>
          <w:color w:val="000000"/>
          <w:spacing w:val="-4"/>
          <w:sz w:val="20"/>
          <w:szCs w:val="20"/>
          <w:lang w:eastAsia="zh-CN"/>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r>
        <w:rPr>
          <w:rFonts w:hint="eastAsia" w:ascii="宋体" w:hAnsi="宋体"/>
          <w:b/>
          <w:color w:val="000000"/>
          <w:spacing w:val="-10"/>
          <w:sz w:val="20"/>
          <w:szCs w:val="20"/>
          <w:lang w:eastAsia="zh-CN"/>
        </w:rPr>
        <w:tab/>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山东大正机械装备有限公司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山东省淄博市桓台县唐山镇唐华路1701号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255000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山东省淄博市桓台县唐山镇唐华路1701号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山东省淄博市桓台县唐山镇唐华路1701号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255000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张永</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13869333266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许珂</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张永</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 xml:space="preserve">2019-10-08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Q：机械设备铆焊及机加工</w:t>
            </w:r>
          </w:p>
          <w:p>
            <w:pPr>
              <w:spacing w:line="400" w:lineRule="exact"/>
              <w:rPr>
                <w:rFonts w:ascii="宋体" w:hAnsi="宋体"/>
                <w:b/>
                <w:color w:val="000000"/>
                <w:sz w:val="20"/>
                <w:szCs w:val="20"/>
              </w:rPr>
            </w:pPr>
            <w:r>
              <w:rPr>
                <w:rFonts w:ascii="宋体" w:hAnsi="宋体"/>
                <w:b/>
                <w:color w:val="000000"/>
                <w:sz w:val="20"/>
                <w:szCs w:val="20"/>
              </w:rPr>
              <w:t>E：机械设备铆焊及机加工所涉及的相关环境管理活动</w:t>
            </w:r>
          </w:p>
          <w:p>
            <w:pPr>
              <w:spacing w:line="400" w:lineRule="exact"/>
              <w:rPr>
                <w:rFonts w:ascii="宋体" w:hAnsi="宋体"/>
                <w:b/>
                <w:color w:val="000000"/>
                <w:sz w:val="20"/>
                <w:szCs w:val="20"/>
              </w:rPr>
            </w:pPr>
            <w:r>
              <w:rPr>
                <w:rFonts w:ascii="宋体" w:hAnsi="宋体"/>
                <w:b/>
                <w:color w:val="000000"/>
                <w:sz w:val="20"/>
                <w:szCs w:val="20"/>
              </w:rPr>
              <w:t>O：机械设备铆焊及机加工所涉及的职业健康安全管理活动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Q：17.10.02</w:t>
            </w:r>
          </w:p>
          <w:p>
            <w:pPr>
              <w:spacing w:line="280" w:lineRule="exact"/>
              <w:rPr>
                <w:rFonts w:ascii="宋体"/>
                <w:b/>
                <w:color w:val="000000"/>
                <w:sz w:val="20"/>
                <w:szCs w:val="20"/>
              </w:rPr>
            </w:pPr>
            <w:r>
              <w:rPr>
                <w:rFonts w:ascii="宋体"/>
                <w:b/>
                <w:color w:val="000000"/>
                <w:sz w:val="20"/>
                <w:szCs w:val="20"/>
              </w:rPr>
              <w:t>E：17.10.02</w:t>
            </w:r>
          </w:p>
          <w:p>
            <w:pPr>
              <w:spacing w:line="280" w:lineRule="exact"/>
              <w:rPr>
                <w:rFonts w:ascii="宋体"/>
                <w:b/>
                <w:color w:val="000000"/>
                <w:sz w:val="20"/>
                <w:szCs w:val="20"/>
              </w:rPr>
            </w:pPr>
            <w:r>
              <w:rPr>
                <w:rFonts w:ascii="宋体"/>
                <w:b/>
                <w:color w:val="000000"/>
                <w:sz w:val="20"/>
                <w:szCs w:val="20"/>
              </w:rPr>
              <w:t>O：17.10.02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u w:val="single"/>
          <w:lang w:eastAsia="zh-CN"/>
        </w:rPr>
        <w:t>书册、程序文件、目标考核、内审、管评等；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现场</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部门：综合部</w:t>
      </w:r>
      <w:r>
        <w:rPr>
          <w:rFonts w:hint="eastAsia" w:ascii="宋体" w:hAnsi="宋体"/>
          <w:b/>
          <w:color w:val="000000"/>
          <w:sz w:val="20"/>
          <w:szCs w:val="20"/>
          <w:lang w:eastAsia="zh-CN"/>
        </w:rPr>
        <w:t>、</w:t>
      </w:r>
      <w:r>
        <w:rPr>
          <w:rFonts w:hint="eastAsia" w:ascii="宋体" w:hAnsi="宋体"/>
          <w:b/>
          <w:color w:val="000000"/>
          <w:sz w:val="20"/>
          <w:szCs w:val="20"/>
        </w:rPr>
        <w:t>事业部</w:t>
      </w:r>
      <w:r>
        <w:rPr>
          <w:rFonts w:hint="eastAsia" w:ascii="宋体" w:hAnsi="宋体"/>
          <w:b/>
          <w:color w:val="000000"/>
          <w:sz w:val="20"/>
          <w:szCs w:val="20"/>
          <w:lang w:eastAsia="zh-CN"/>
        </w:rPr>
        <w:t>、</w:t>
      </w:r>
      <w:r>
        <w:rPr>
          <w:rFonts w:hint="eastAsia" w:ascii="宋体" w:hAnsi="宋体"/>
          <w:b/>
          <w:color w:val="000000"/>
          <w:sz w:val="20"/>
          <w:szCs w:val="20"/>
        </w:rPr>
        <w:t>技术质检部</w:t>
      </w:r>
      <w:r>
        <w:rPr>
          <w:rFonts w:hint="eastAsia" w:ascii="宋体" w:hAnsi="宋体"/>
          <w:b/>
          <w:color w:val="000000"/>
          <w:sz w:val="20"/>
          <w:szCs w:val="20"/>
          <w:lang w:eastAsia="zh-CN"/>
        </w:rPr>
        <w:t>等</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办公室、车间、库房、配电室、消防等</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r>
              <w:rPr>
                <w:rFonts w:hint="eastAsia" w:ascii="宋体" w:hAnsi="宋体"/>
                <w:b/>
                <w:color w:val="000000"/>
                <w:sz w:val="20"/>
                <w:szCs w:val="20"/>
              </w:rPr>
              <w:t>产品</w:t>
            </w:r>
            <w:r>
              <w:rPr>
                <w:rFonts w:hint="eastAsia" w:ascii="宋体" w:hAnsi="宋体"/>
                <w:b/>
                <w:color w:val="000000"/>
                <w:sz w:val="20"/>
                <w:szCs w:val="20"/>
                <w:lang w:val="en-US" w:eastAsia="zh-CN"/>
              </w:rPr>
              <w:t>/</w:t>
            </w:r>
            <w:r>
              <w:rPr>
                <w:rFonts w:hint="eastAsia" w:ascii="宋体" w:hAnsi="宋体"/>
                <w:b/>
                <w:color w:val="000000"/>
                <w:sz w:val="20"/>
                <w:szCs w:val="20"/>
              </w:rPr>
              <w:t>服务：</w:t>
            </w:r>
            <w:r>
              <w:t>Q：机械设备铆焊及机加工</w:t>
            </w:r>
          </w:p>
          <w:p>
            <w:r>
              <w:t>E：机械设备铆焊及机加工所涉及的相关环境管理活动</w:t>
            </w:r>
          </w:p>
          <w:p>
            <w:pPr>
              <w:tabs>
                <w:tab w:val="left" w:pos="360"/>
              </w:tabs>
              <w:ind w:left="360" w:hanging="360"/>
              <w:rPr>
                <w:rFonts w:ascii="宋体"/>
                <w:b/>
                <w:color w:val="000000"/>
                <w:sz w:val="20"/>
                <w:szCs w:val="20"/>
              </w:rPr>
            </w:pPr>
            <w:r>
              <w:t>O：机械设备铆焊及机加工所涉及的职业健康安全管理活动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rPr>
              <w:t>综合部</w:t>
            </w:r>
            <w:r>
              <w:rPr>
                <w:rFonts w:hint="eastAsia" w:ascii="宋体" w:hAnsi="宋体"/>
                <w:b/>
                <w:color w:val="000000"/>
                <w:sz w:val="20"/>
                <w:szCs w:val="20"/>
                <w:lang w:eastAsia="zh-CN"/>
              </w:rPr>
              <w:t>、</w:t>
            </w:r>
            <w:r>
              <w:rPr>
                <w:rFonts w:hint="eastAsia" w:ascii="宋体" w:hAnsi="宋体"/>
                <w:b/>
                <w:color w:val="000000"/>
                <w:sz w:val="20"/>
                <w:szCs w:val="20"/>
              </w:rPr>
              <w:t>事业部</w:t>
            </w:r>
            <w:r>
              <w:rPr>
                <w:rFonts w:hint="eastAsia" w:ascii="宋体" w:hAnsi="宋体"/>
                <w:b/>
                <w:color w:val="000000"/>
                <w:sz w:val="20"/>
                <w:szCs w:val="20"/>
                <w:lang w:eastAsia="zh-CN"/>
              </w:rPr>
              <w:t>、</w:t>
            </w:r>
            <w:r>
              <w:rPr>
                <w:rFonts w:hint="eastAsia" w:ascii="宋体" w:hAnsi="宋体"/>
                <w:b/>
                <w:color w:val="000000"/>
                <w:sz w:val="20"/>
                <w:szCs w:val="20"/>
              </w:rPr>
              <w:t>技术质检部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事业部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事业部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lang w:eastAsia="zh-CN"/>
              </w:rPr>
              <w:t>常规</w:t>
            </w:r>
            <w:r>
              <w:rPr>
                <w:rFonts w:hint="eastAsia" w:ascii="宋体" w:hAnsi="宋体" w:eastAsia="宋体" w:cs="Times New Roman"/>
                <w:color w:val="000000"/>
                <w:sz w:val="20"/>
                <w:szCs w:val="20"/>
              </w:rPr>
              <w:t>生产工艺流程：</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机加：来料→检验→机加工→检验→入库→发货</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 xml:space="preserve">铆焊：原料→下料→焊接/机加工→组装调试→检验→入库   </w:t>
            </w:r>
          </w:p>
          <w:p>
            <w:pPr>
              <w:rPr>
                <w:rFonts w:ascii="宋体"/>
                <w:color w:val="000000"/>
                <w:sz w:val="20"/>
                <w:szCs w:val="20"/>
              </w:rPr>
            </w:pPr>
            <w:r>
              <w:rPr>
                <w:rFonts w:hint="eastAsia" w:ascii="宋体" w:hAnsi="宋体" w:eastAsia="宋体" w:cs="Times New Roman"/>
                <w:color w:val="000000"/>
                <w:sz w:val="20"/>
                <w:szCs w:val="20"/>
                <w:lang w:eastAsia="zh-CN"/>
              </w:rPr>
              <w:t>其他：按客户合同、图纸、技术要求加工；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Times New Roman"/>
                <w:color w:val="000000"/>
                <w:sz w:val="20"/>
                <w:szCs w:val="20"/>
                <w:lang w:val="en-US" w:eastAsia="zh-CN"/>
              </w:rPr>
              <w:t xml:space="preserve">客户指定关键工序（适用时）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Times New Roman"/>
                <w:color w:val="000000"/>
                <w:sz w:val="20"/>
                <w:szCs w:val="20"/>
                <w:lang w:eastAsia="zh-CN"/>
              </w:rPr>
              <w:t>客户合同、图纸、技术要求等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color w:val="auto"/>
                <w:sz w:val="21"/>
                <w:szCs w:val="21"/>
                <w:lang w:val="en-US" w:eastAsia="zh-CN"/>
              </w:rPr>
              <w:t xml:space="preserve">焊接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Theme="minorEastAsia" w:hAnsiTheme="minorEastAsia" w:eastAsiaTheme="minorEastAsia" w:cstheme="minorEastAsia"/>
                <w:color w:val="auto"/>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Theme="minorEastAsia" w:hAnsiTheme="minorEastAsia" w:eastAsiaTheme="minorEastAsia" w:cstheme="minorEastAsia"/>
                <w:color w:val="auto"/>
                <w:sz w:val="21"/>
                <w:szCs w:val="21"/>
                <w:lang w:val="en-US" w:eastAsia="zh-CN"/>
              </w:rPr>
              <w:t>根据客户要求实施时，执行“质量手册”外包规定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Times New Roman"/>
                <w:color w:val="000000"/>
                <w:spacing w:val="-10"/>
                <w:sz w:val="20"/>
                <w:szCs w:val="20"/>
              </w:rPr>
              <w:t>镗铣床、五面加工中心、镗铣加工中心、重型数控镗床、数控落地镗铣床、</w:t>
            </w:r>
            <w:r>
              <w:rPr>
                <w:rFonts w:hint="eastAsia" w:ascii="宋体" w:hAnsi="宋体" w:eastAsia="宋体" w:cs="Times New Roman"/>
                <w:color w:val="000000"/>
                <w:spacing w:val="-10"/>
                <w:sz w:val="20"/>
                <w:szCs w:val="20"/>
                <w:lang w:val="en-US" w:eastAsia="zh-CN"/>
              </w:rPr>
              <w:t>钻床、空气压缩机、液压机、数控火焰切割机、带锯床、气保焊机、弧焊机、直流理弧焊机、行车等；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eastAsia="zh-CN"/>
              </w:rPr>
              <w:t>行车</w:t>
            </w:r>
            <w:r>
              <w:rPr>
                <w:rFonts w:hint="eastAsia" w:ascii="宋体" w:hAnsi="宋体"/>
                <w:color w:val="000000"/>
                <w:sz w:val="20"/>
                <w:szCs w:val="20"/>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Times New Roman" w:eastAsia="宋体" w:cs="Times New Roman"/>
                <w:color w:val="000000"/>
                <w:sz w:val="20"/>
                <w:szCs w:val="20"/>
              </w:rPr>
              <w:t>：百分表、卡尺、千分尺、带表内卡规螺纹塞规</w:t>
            </w:r>
            <w:r>
              <w:rPr>
                <w:rFonts w:hint="eastAsia" w:ascii="宋体" w:hAnsi="Times New Roman" w:eastAsia="宋体" w:cs="Times New Roman"/>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lang w:eastAsia="zh-CN"/>
              </w:rPr>
              <w:t>噪声、废气、固废、废水。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hAnsi="Times New Roman" w:eastAsia="宋体" w:cs="Times New Roman"/>
                <w:color w:val="000000"/>
                <w:sz w:val="20"/>
                <w:szCs w:val="20"/>
              </w:rPr>
              <w:t>对火灾</w:t>
            </w:r>
            <w:r>
              <w:rPr>
                <w:rFonts w:hint="eastAsia" w:ascii="宋体" w:hAnsi="Times New Roman" w:eastAsia="宋体" w:cs="Times New Roman"/>
                <w:color w:val="000000"/>
                <w:sz w:val="20"/>
                <w:szCs w:val="20"/>
                <w:lang w:eastAsia="zh-CN"/>
              </w:rPr>
              <w:t>、触电</w:t>
            </w:r>
            <w:r>
              <w:rPr>
                <w:rFonts w:hint="eastAsia" w:ascii="宋体" w:hAnsi="Times New Roman" w:eastAsia="宋体" w:cs="Times New Roman"/>
                <w:color w:val="000000"/>
                <w:sz w:val="20"/>
                <w:szCs w:val="20"/>
              </w:rPr>
              <w:t>等制定了应急预案</w:t>
            </w:r>
            <w:r>
              <w:rPr>
                <w:rFonts w:hint="eastAsia" w:ascii="宋体" w:hAnsi="Times New Roman" w:eastAsia="宋体"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rPr>
              <w:t>：触电、火灾、职业病、机械伤害、高处坠落、触电、物体打击砸伤等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事业部、技术质检部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生产过程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事业部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车间、库房、配电室、消防</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事业部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车间、库房、配电室、消防</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bCs/>
                <w:szCs w:val="21"/>
              </w:rPr>
              <w:t>体系运行</w:t>
            </w:r>
            <w:r>
              <w:rPr>
                <w:rFonts w:hint="eastAsia"/>
                <w:bCs/>
                <w:szCs w:val="21"/>
                <w:lang w:eastAsia="zh-CN"/>
              </w:rPr>
              <w:t>基本</w:t>
            </w:r>
            <w:r>
              <w:rPr>
                <w:rFonts w:hint="eastAsia"/>
                <w:bCs/>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78720" behindDoc="0" locked="0" layoutInCell="1" allowOverlap="1">
            <wp:simplePos x="0" y="0"/>
            <wp:positionH relativeFrom="column">
              <wp:posOffset>1778635</wp:posOffset>
            </wp:positionH>
            <wp:positionV relativeFrom="paragraph">
              <wp:posOffset>299085</wp:posOffset>
            </wp:positionV>
            <wp:extent cx="728345" cy="365760"/>
            <wp:effectExtent l="0" t="0" r="14605" b="1524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728345" cy="36576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ascii="方正仿宋简体" w:eastAsia="方正仿宋简体"/>
          <w:b/>
        </w:rPr>
        <w:drawing>
          <wp:anchor distT="0" distB="0" distL="114300" distR="114300" simplePos="0" relativeHeight="251706368" behindDoc="0" locked="0" layoutInCell="1" allowOverlap="1">
            <wp:simplePos x="0" y="0"/>
            <wp:positionH relativeFrom="column">
              <wp:posOffset>1895475</wp:posOffset>
            </wp:positionH>
            <wp:positionV relativeFrom="paragraph">
              <wp:posOffset>170180</wp:posOffset>
            </wp:positionV>
            <wp:extent cx="616585" cy="333375"/>
            <wp:effectExtent l="0" t="0" r="12065" b="952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16585" cy="3333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2020年5月10</w:t>
      </w:r>
      <w:bookmarkStart w:id="24" w:name="_GoBack"/>
      <w:bookmarkEnd w:id="24"/>
      <w:r>
        <w:rPr>
          <w:rFonts w:hint="eastAsia" w:ascii="宋体" w:hAnsi="宋体"/>
          <w:b/>
          <w:color w:val="000000"/>
          <w:lang w:val="en-US" w:eastAsia="zh-CN"/>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hint="eastAsia" w:ascii="宋体" w:hAns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pStyle w:val="2"/>
        <w:rPr>
          <w:rFonts w:hint="eastAsia" w:ascii="宋体" w:hAnsi="宋体"/>
          <w:b/>
          <w:color w:val="000000"/>
          <w:sz w:val="20"/>
          <w:szCs w:val="20"/>
          <w:lang w:eastAsia="zh-CN"/>
        </w:rPr>
      </w:pPr>
    </w:p>
    <w:p>
      <w:pPr>
        <w:pStyle w:val="2"/>
        <w:jc w:val="center"/>
        <w:rPr>
          <w:rFonts w:hint="eastAsia" w:eastAsia="宋体"/>
          <w:lang w:eastAsia="zh-CN"/>
        </w:rPr>
      </w:pPr>
      <w:r>
        <w:rPr>
          <w:rFonts w:hint="eastAsia" w:ascii="宋体" w:hAnsi="宋体"/>
          <w:b/>
          <w:color w:val="000000"/>
          <w:sz w:val="20"/>
          <w:szCs w:val="20"/>
          <w:lang w:eastAsia="zh-CN"/>
        </w:rPr>
        <w:t>一阶段暂未发现不符合。</w:t>
      </w: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66697"/>
    <w:rsid w:val="00C5262B"/>
    <w:rsid w:val="00D4406D"/>
    <w:rsid w:val="014E7296"/>
    <w:rsid w:val="01FE044B"/>
    <w:rsid w:val="02B90D8A"/>
    <w:rsid w:val="031E39A8"/>
    <w:rsid w:val="041E7FAD"/>
    <w:rsid w:val="061B720C"/>
    <w:rsid w:val="069A4639"/>
    <w:rsid w:val="0C5F5108"/>
    <w:rsid w:val="0DD86F4B"/>
    <w:rsid w:val="0FAC2BD7"/>
    <w:rsid w:val="10A81244"/>
    <w:rsid w:val="143F3C64"/>
    <w:rsid w:val="14B864CE"/>
    <w:rsid w:val="17640092"/>
    <w:rsid w:val="17AD482F"/>
    <w:rsid w:val="1921327C"/>
    <w:rsid w:val="1A205E66"/>
    <w:rsid w:val="1AE54E46"/>
    <w:rsid w:val="1B037181"/>
    <w:rsid w:val="1B630050"/>
    <w:rsid w:val="1D8C489D"/>
    <w:rsid w:val="1FE34315"/>
    <w:rsid w:val="21E94A74"/>
    <w:rsid w:val="2A080AB2"/>
    <w:rsid w:val="2A2152FF"/>
    <w:rsid w:val="2C3A083D"/>
    <w:rsid w:val="2F8F7C80"/>
    <w:rsid w:val="348335FD"/>
    <w:rsid w:val="35CF0A6C"/>
    <w:rsid w:val="3A733CDA"/>
    <w:rsid w:val="3B715EE0"/>
    <w:rsid w:val="41321F53"/>
    <w:rsid w:val="41840038"/>
    <w:rsid w:val="42E77FE5"/>
    <w:rsid w:val="432838F3"/>
    <w:rsid w:val="445F5897"/>
    <w:rsid w:val="450742AC"/>
    <w:rsid w:val="45C34719"/>
    <w:rsid w:val="4F471BA5"/>
    <w:rsid w:val="4FC96337"/>
    <w:rsid w:val="509F24C2"/>
    <w:rsid w:val="54F04F78"/>
    <w:rsid w:val="55341CEF"/>
    <w:rsid w:val="55FC14F4"/>
    <w:rsid w:val="58F57005"/>
    <w:rsid w:val="59C07C1E"/>
    <w:rsid w:val="5A390890"/>
    <w:rsid w:val="5A6F75E4"/>
    <w:rsid w:val="5FC74F16"/>
    <w:rsid w:val="60D83F04"/>
    <w:rsid w:val="63174707"/>
    <w:rsid w:val="63FF4170"/>
    <w:rsid w:val="64DD75A0"/>
    <w:rsid w:val="69862DD3"/>
    <w:rsid w:val="72294DC8"/>
    <w:rsid w:val="766079E4"/>
    <w:rsid w:val="76AC096B"/>
    <w:rsid w:val="77A049F3"/>
    <w:rsid w:val="789C72C5"/>
    <w:rsid w:val="79D75A4E"/>
    <w:rsid w:val="7A4B3223"/>
    <w:rsid w:val="7A517995"/>
    <w:rsid w:val="7CD11AE2"/>
    <w:rsid w:val="7EBA0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2020-05-19T06:15:16Z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