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tab w:relativeTo="margin" w:alignment="center" w:leader="none"/>
      </w:r>
    </w:p>
    <w:p>
      <w:pPr>
        <w:spacing w:line="480" w:lineRule="exact"/>
        <w:jc w:val="center"/>
        <w:rPr>
          <w:rFonts w:hint="eastAsia" w:asciiTheme="minorEastAsia" w:hAnsiTheme="minorEastAsia" w:eastAsiaTheme="minorEastAsia" w:cstheme="minorEastAsia"/>
          <w:bCs/>
          <w:color w:val="000000"/>
          <w:sz w:val="36"/>
          <w:szCs w:val="36"/>
        </w:rPr>
      </w:pPr>
      <w:r>
        <w:rPr>
          <w:rFonts w:hint="eastAsia" w:asciiTheme="minorEastAsia" w:hAnsiTheme="minorEastAsia" w:eastAsiaTheme="minorEastAsia" w:cstheme="minorEastAsia"/>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61"/>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抽样计划</w:t>
            </w:r>
          </w:p>
        </w:tc>
        <w:tc>
          <w:tcPr>
            <w:tcW w:w="960"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10961" w:type="dxa"/>
            <w:vAlign w:val="center"/>
          </w:tcPr>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受审核部门：</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管理层、</w:t>
            </w:r>
            <w:r>
              <w:rPr>
                <w:rFonts w:hint="eastAsia" w:asciiTheme="minorEastAsia" w:hAnsiTheme="minorEastAsia" w:eastAsiaTheme="minorEastAsia" w:cstheme="minorEastAsia"/>
                <w:color w:val="auto"/>
                <w:sz w:val="21"/>
                <w:szCs w:val="21"/>
                <w:lang w:val="en-US" w:eastAsia="zh-CN"/>
              </w:rPr>
              <w:t>综合部、事业部、技术质检部等      总经理/管代：</w:t>
            </w:r>
            <w:r>
              <w:rPr>
                <w:rFonts w:hint="eastAsia" w:asciiTheme="minorEastAsia" w:hAnsiTheme="minorEastAsia" w:eastAsiaTheme="minorEastAsia" w:cstheme="minorEastAsia"/>
                <w:color w:val="auto"/>
                <w:sz w:val="21"/>
                <w:szCs w:val="21"/>
                <w:lang w:eastAsia="zh-CN"/>
              </w:rPr>
              <w:t>张永</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陪同人员：</w:t>
            </w:r>
            <w:r>
              <w:rPr>
                <w:rFonts w:hint="eastAsia" w:asciiTheme="minorEastAsia" w:hAnsiTheme="minorEastAsia" w:eastAsiaTheme="minorEastAsia" w:cstheme="minorEastAsia"/>
                <w:color w:val="auto"/>
                <w:sz w:val="21"/>
                <w:szCs w:val="21"/>
                <w:lang w:eastAsia="zh-CN"/>
              </w:rPr>
              <w:t>毛明亮等；</w:t>
            </w:r>
            <w:r>
              <w:rPr>
                <w:rFonts w:hint="eastAsia" w:asciiTheme="minorEastAsia" w:hAnsiTheme="minorEastAsia" w:eastAsiaTheme="minorEastAsia" w:cstheme="minorEastAsia"/>
                <w:color w:val="auto"/>
                <w:sz w:val="21"/>
                <w:szCs w:val="21"/>
              </w:rPr>
              <w:t xml:space="preserve"> </w:t>
            </w:r>
          </w:p>
        </w:tc>
        <w:tc>
          <w:tcPr>
            <w:tcW w:w="628"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color w:val="auto"/>
                <w:sz w:val="21"/>
                <w:szCs w:val="21"/>
              </w:rPr>
            </w:pPr>
          </w:p>
        </w:tc>
        <w:tc>
          <w:tcPr>
            <w:tcW w:w="960" w:type="dxa"/>
            <w:vMerge w:val="continue"/>
            <w:vAlign w:val="center"/>
          </w:tcPr>
          <w:p>
            <w:pPr>
              <w:rPr>
                <w:rFonts w:hint="eastAsia" w:asciiTheme="minorEastAsia" w:hAnsiTheme="minorEastAsia" w:eastAsiaTheme="minorEastAsia" w:cstheme="minorEastAsia"/>
                <w:color w:val="auto"/>
                <w:sz w:val="21"/>
                <w:szCs w:val="21"/>
              </w:rPr>
            </w:pPr>
          </w:p>
        </w:tc>
        <w:tc>
          <w:tcPr>
            <w:tcW w:w="10961" w:type="dxa"/>
            <w:vAlign w:val="center"/>
          </w:tcPr>
          <w:p>
            <w:pPr>
              <w:spacing w:before="12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审核员：</w:t>
            </w:r>
            <w:r>
              <w:rPr>
                <w:rFonts w:hint="eastAsia" w:asciiTheme="minorEastAsia" w:hAnsiTheme="minorEastAsia" w:eastAsiaTheme="minorEastAsia" w:cstheme="minorEastAsia"/>
                <w:color w:val="auto"/>
                <w:sz w:val="21"/>
                <w:szCs w:val="21"/>
                <w:lang w:val="en-US" w:eastAsia="zh-CN"/>
              </w:rPr>
              <w:t>王志慧                   审核时间：</w:t>
            </w:r>
            <w:bookmarkStart w:id="0" w:name="审核日期安排"/>
            <w:r>
              <w:rPr>
                <w:rFonts w:hint="eastAsia" w:asciiTheme="minorEastAsia" w:hAnsiTheme="minorEastAsia" w:eastAsiaTheme="minorEastAsia" w:cstheme="minorEastAsia"/>
                <w:color w:val="auto"/>
                <w:sz w:val="21"/>
                <w:szCs w:val="21"/>
                <w:lang w:val="en-US" w:eastAsia="zh-CN"/>
              </w:rPr>
              <w:t xml:space="preserve">2020年05月09日 上午至2020年05月10日 上午 </w:t>
            </w:r>
            <w:bookmarkEnd w:id="0"/>
          </w:p>
        </w:tc>
        <w:tc>
          <w:tcPr>
            <w:tcW w:w="628"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color w:val="auto"/>
                <w:sz w:val="21"/>
                <w:szCs w:val="21"/>
              </w:rPr>
            </w:pPr>
          </w:p>
        </w:tc>
        <w:tc>
          <w:tcPr>
            <w:tcW w:w="960" w:type="dxa"/>
            <w:vMerge w:val="continue"/>
            <w:vAlign w:val="center"/>
          </w:tcPr>
          <w:p>
            <w:pPr>
              <w:rPr>
                <w:rFonts w:hint="eastAsia" w:asciiTheme="minorEastAsia" w:hAnsiTheme="minorEastAsia" w:eastAsiaTheme="minorEastAsia" w:cstheme="minorEastAsia"/>
                <w:color w:val="auto"/>
                <w:sz w:val="21"/>
                <w:szCs w:val="21"/>
              </w:rPr>
            </w:pPr>
          </w:p>
        </w:tc>
        <w:tc>
          <w:tcPr>
            <w:tcW w:w="10961" w:type="dxa"/>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审核条款：</w:t>
            </w:r>
            <w:r>
              <w:rPr>
                <w:rFonts w:hint="eastAsia" w:asciiTheme="minorEastAsia" w:hAnsiTheme="minorEastAsia" w:eastAsiaTheme="minorEastAsia" w:cstheme="minorEastAsia"/>
                <w:color w:val="auto"/>
                <w:sz w:val="21"/>
                <w:szCs w:val="21"/>
                <w:lang w:val="en-US" w:eastAsia="zh-CN"/>
              </w:rPr>
              <w:t>略</w:t>
            </w:r>
          </w:p>
        </w:tc>
        <w:tc>
          <w:tcPr>
            <w:tcW w:w="628"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ascii="宋体" w:hAnsi="宋体"/>
                <w:color w:val="auto"/>
                <w:szCs w:val="21"/>
              </w:rPr>
            </w:pPr>
            <w:r>
              <w:rPr>
                <w:rFonts w:hint="eastAsia" w:ascii="宋体" w:hAnsi="宋体"/>
                <w:color w:val="auto"/>
                <w:szCs w:val="21"/>
              </w:rPr>
              <w:t>企业简介、组织机构及场所、资质</w:t>
            </w:r>
          </w:p>
          <w:p>
            <w:pPr>
              <w:spacing w:line="400" w:lineRule="exact"/>
              <w:rPr>
                <w:rFonts w:hint="eastAsia" w:ascii="宋体" w:hAnsi="宋体"/>
                <w:color w:val="auto"/>
                <w:szCs w:val="21"/>
              </w:rPr>
            </w:pPr>
          </w:p>
          <w:p>
            <w:pPr>
              <w:spacing w:line="400" w:lineRule="exact"/>
              <w:rPr>
                <w:rFonts w:hint="eastAsia" w:ascii="宋体" w:hAnsi="宋体"/>
                <w:color w:val="auto"/>
                <w:szCs w:val="21"/>
              </w:rPr>
            </w:pPr>
          </w:p>
          <w:p>
            <w:pPr>
              <w:pStyle w:val="2"/>
              <w:rPr>
                <w:rFonts w:hint="eastAsia"/>
              </w:rPr>
            </w:pPr>
          </w:p>
          <w:p>
            <w:pPr>
              <w:pStyle w:val="2"/>
              <w:rPr>
                <w:rFonts w:hint="eastAsia" w:ascii="宋体" w:hAnsi="宋体"/>
                <w:color w:val="auto"/>
                <w:szCs w:val="21"/>
                <w:lang w:eastAsia="zh-CN"/>
              </w:rPr>
            </w:pPr>
            <w:r>
              <w:rPr>
                <w:rFonts w:hint="eastAsia" w:ascii="宋体" w:hAnsi="宋体"/>
                <w:color w:val="auto"/>
                <w:szCs w:val="21"/>
                <w:lang w:eastAsia="zh-CN"/>
              </w:rPr>
              <w:t>认证范围确认</w:t>
            </w:r>
          </w:p>
          <w:p>
            <w:pPr>
              <w:pStyle w:val="2"/>
              <w:rPr>
                <w:rFonts w:hint="eastAsia" w:ascii="宋体" w:hAnsi="宋体"/>
                <w:color w:val="auto"/>
                <w:szCs w:val="21"/>
                <w:lang w:eastAsia="zh-CN"/>
              </w:rPr>
            </w:pPr>
          </w:p>
          <w:p>
            <w:pPr>
              <w:pStyle w:val="2"/>
              <w:rPr>
                <w:rFonts w:hint="eastAsia" w:ascii="宋体" w:hAnsi="宋体"/>
                <w:color w:val="auto"/>
                <w:szCs w:val="21"/>
                <w:lang w:eastAsia="zh-CN"/>
              </w:rPr>
            </w:pPr>
          </w:p>
          <w:p>
            <w:pPr>
              <w:pStyle w:val="2"/>
              <w:rPr>
                <w:rFonts w:hint="eastAsia" w:ascii="宋体" w:hAnsi="宋体"/>
                <w:color w:val="auto"/>
                <w:szCs w:val="21"/>
                <w:lang w:eastAsia="zh-CN"/>
              </w:rPr>
            </w:pPr>
          </w:p>
          <w:p>
            <w:pPr>
              <w:pStyle w:val="2"/>
              <w:rPr>
                <w:rFonts w:hint="eastAsia" w:ascii="宋体" w:hAnsi="宋体"/>
                <w:color w:val="auto"/>
                <w:szCs w:val="21"/>
              </w:rPr>
            </w:pPr>
          </w:p>
          <w:p>
            <w:pPr>
              <w:spacing w:line="400" w:lineRule="exact"/>
              <w:rPr>
                <w:rFonts w:ascii="宋体" w:hAnsi="宋体"/>
                <w:color w:val="auto"/>
                <w:szCs w:val="21"/>
              </w:rPr>
            </w:pPr>
            <w:r>
              <w:rPr>
                <w:rFonts w:hint="eastAsia" w:ascii="宋体" w:hAnsi="宋体"/>
                <w:color w:val="auto"/>
                <w:szCs w:val="21"/>
              </w:rPr>
              <w:t>管理体系运行时间（3 个月以上）</w:t>
            </w:r>
          </w:p>
          <w:p>
            <w:pPr>
              <w:spacing w:line="400" w:lineRule="exact"/>
              <w:rPr>
                <w:rFonts w:hint="eastAsia" w:asciiTheme="minorEastAsia" w:hAnsiTheme="minorEastAsia" w:eastAsiaTheme="minorEastAsia" w:cstheme="minorEastAsia"/>
                <w:color w:val="auto"/>
                <w:sz w:val="21"/>
                <w:szCs w:val="21"/>
              </w:rPr>
            </w:pPr>
            <w:r>
              <w:rPr>
                <w:rFonts w:hint="eastAsia" w:ascii="宋体" w:hAnsi="宋体"/>
                <w:color w:val="auto"/>
                <w:szCs w:val="21"/>
              </w:rPr>
              <w:t>确认组织实际与管理体系文件化信息描述的一致性</w:t>
            </w:r>
          </w:p>
        </w:tc>
        <w:tc>
          <w:tcPr>
            <w:tcW w:w="960" w:type="dxa"/>
            <w:vAlign w:val="top"/>
          </w:tcPr>
          <w:p>
            <w:pPr>
              <w:adjustRightInd w:val="0"/>
              <w:snapToGrid w:val="0"/>
              <w:rPr>
                <w:rFonts w:ascii="宋体" w:hAnsi="宋体" w:cs="宋体"/>
                <w:color w:val="auto"/>
                <w:szCs w:val="21"/>
              </w:rPr>
            </w:pPr>
            <w:r>
              <w:rPr>
                <w:rFonts w:hint="eastAsia" w:ascii="宋体" w:hAnsi="宋体"/>
                <w:color w:val="auto"/>
                <w:szCs w:val="21"/>
                <w:lang w:val="en-US" w:eastAsia="zh-CN"/>
              </w:rPr>
              <w:t>Q/E/S:</w:t>
            </w:r>
            <w:r>
              <w:rPr>
                <w:rFonts w:hint="eastAsia" w:ascii="宋体" w:hAnsi="宋体" w:cs="宋体"/>
                <w:color w:val="auto"/>
                <w:szCs w:val="21"/>
              </w:rPr>
              <w:t>4.1;4.2;4.3;4.4</w:t>
            </w:r>
          </w:p>
          <w:p>
            <w:pPr>
              <w:spacing w:line="440" w:lineRule="exact"/>
              <w:jc w:val="center"/>
              <w:rPr>
                <w:rFonts w:hint="default" w:ascii="宋体" w:hAnsi="宋体" w:eastAsia="宋体"/>
                <w:color w:val="auto"/>
                <w:szCs w:val="21"/>
                <w:lang w:val="en-US" w:eastAsia="zh-CN"/>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hint="eastAsia" w:asciiTheme="minorEastAsia" w:hAnsiTheme="minorEastAsia" w:eastAsiaTheme="minorEastAsia" w:cstheme="minorEastAsia"/>
                <w:color w:val="auto"/>
                <w:sz w:val="21"/>
                <w:szCs w:val="21"/>
              </w:rPr>
            </w:pPr>
          </w:p>
        </w:tc>
        <w:tc>
          <w:tcPr>
            <w:tcW w:w="10961" w:type="dxa"/>
            <w:vAlign w:val="top"/>
          </w:tcPr>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sz w:val="21"/>
                <w:szCs w:val="21"/>
              </w:rPr>
              <w:t>受审核方</w:t>
            </w:r>
            <w:r>
              <w:rPr>
                <w:rFonts w:hint="eastAsia" w:asciiTheme="minorEastAsia" w:hAnsiTheme="minorEastAsia" w:eastAsiaTheme="minorEastAsia" w:cstheme="minorEastAsia"/>
                <w:sz w:val="21"/>
                <w:szCs w:val="21"/>
                <w:lang w:eastAsia="zh-CN"/>
              </w:rPr>
              <w:t>山东大正机械装备有限公司成立于</w:t>
            </w:r>
            <w:r>
              <w:rPr>
                <w:rFonts w:hint="eastAsia" w:asciiTheme="minorEastAsia" w:hAnsiTheme="minorEastAsia" w:eastAsiaTheme="minorEastAsia" w:cstheme="minorEastAsia"/>
                <w:sz w:val="21"/>
                <w:szCs w:val="21"/>
                <w:lang w:val="en-US" w:eastAsia="zh-CN"/>
              </w:rPr>
              <w:t>2018年，是机械行业文明单位！山东大正机械装备有限公司主要从事精密机械加工，机械设备的研发、生产、销售和铆焊加工！公司拥有日本SNK公司大型数控龙门物免加工中心HF－8M，利大利FPT公司AREA-EV8，武重，沈机集团昆明机床大型数控落地镗床TK6920A，芜重机床有限公司TK6913及相关配套设施，核电，热电，风电，水电，船舶等重大设备的加工能力。</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企业营业执照在有效期内，认证范围在营业范围内。</w:t>
            </w:r>
          </w:p>
          <w:p>
            <w:pPr>
              <w:spacing w:line="400" w:lineRule="exact"/>
              <w:rPr>
                <w:rFonts w:hint="eastAsia" w:asciiTheme="minorEastAsia" w:hAnsiTheme="minorEastAsia" w:eastAsiaTheme="minorEastAsia" w:cstheme="minorEastAsia"/>
                <w:color w:val="auto"/>
                <w:sz w:val="21"/>
                <w:szCs w:val="21"/>
                <w:lang w:val="en-US" w:eastAsia="zh-CN"/>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经确认，</w:t>
            </w:r>
            <w:r>
              <w:rPr>
                <w:rFonts w:hint="eastAsia" w:asciiTheme="minorEastAsia" w:hAnsiTheme="minorEastAsia" w:eastAsiaTheme="minorEastAsia" w:cstheme="minorEastAsia"/>
                <w:sz w:val="21"/>
                <w:szCs w:val="21"/>
              </w:rPr>
              <w:t xml:space="preserve"> 产品和服务（范围）</w:t>
            </w:r>
          </w:p>
          <w:p>
            <w:pPr>
              <w:tabs>
                <w:tab w:val="center" w:pos="2960"/>
              </w:tabs>
              <w:rPr>
                <w:rFonts w:hint="eastAsia" w:asciiTheme="minorEastAsia" w:hAnsiTheme="minorEastAsia" w:eastAsiaTheme="minorEastAsia" w:cstheme="minorEastAsia"/>
                <w:sz w:val="21"/>
                <w:szCs w:val="21"/>
                <w:lang w:eastAsia="zh-CN"/>
              </w:rPr>
            </w:pPr>
            <w:bookmarkStart w:id="1" w:name="审核范围"/>
            <w:r>
              <w:rPr>
                <w:rFonts w:hint="eastAsia" w:asciiTheme="minorEastAsia" w:hAnsiTheme="minorEastAsia" w:eastAsiaTheme="minorEastAsia" w:cstheme="minorEastAsia"/>
                <w:sz w:val="21"/>
                <w:szCs w:val="21"/>
              </w:rPr>
              <w:t>Q：机械设备铆焊及机加工</w:t>
            </w:r>
            <w:r>
              <w:rPr>
                <w:rFonts w:hint="eastAsia" w:asciiTheme="minorEastAsia" w:hAnsiTheme="minorEastAsia" w:eastAsiaTheme="minorEastAsia" w:cstheme="minorEastAsia"/>
                <w:sz w:val="21"/>
                <w:szCs w:val="21"/>
                <w:lang w:eastAsia="zh-CN"/>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E：机械设备铆焊及机加工所涉及的相关环境管理活动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O：机械设备铆焊及机加工所涉及的职业健康安全管理活动</w:t>
            </w:r>
            <w:bookmarkEnd w:id="1"/>
          </w:p>
          <w:p>
            <w:pPr>
              <w:spacing w:line="40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该</w:t>
            </w:r>
            <w:r>
              <w:rPr>
                <w:rFonts w:hint="eastAsia" w:asciiTheme="minorEastAsia" w:hAnsiTheme="minorEastAsia" w:eastAsiaTheme="minorEastAsia" w:cstheme="minorEastAsia"/>
                <w:sz w:val="21"/>
                <w:szCs w:val="21"/>
              </w:rPr>
              <w:t>公司产品依据顾客要求按客户提供的样品等明确的产品设计要求进行加工，客户提供明确的技术参数及原料采购要求，生产和检验的要求均由客户方提供。不适用8.3条款不影响本公司提供满足客户要求和适用法律法规要求的产品能力或责任的要求</w:t>
            </w:r>
            <w:r>
              <w:rPr>
                <w:rFonts w:hint="eastAsia" w:asciiTheme="minorEastAsia" w:hAnsiTheme="minorEastAsia" w:eastAsiaTheme="minorEastAsia" w:cstheme="minorEastAsia"/>
                <w:sz w:val="21"/>
                <w:szCs w:val="21"/>
                <w:lang w:eastAsia="zh-CN"/>
              </w:rPr>
              <w:t>。</w:t>
            </w:r>
          </w:p>
          <w:p>
            <w:pPr>
              <w:spacing w:line="4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p>
          <w:p>
            <w:pPr>
              <w:spacing w:line="4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查体系运行时间：</w:t>
            </w:r>
            <w:r>
              <w:rPr>
                <w:rFonts w:hint="eastAsia" w:asciiTheme="minorEastAsia" w:hAnsiTheme="minorEastAsia" w:eastAsiaTheme="minorEastAsia" w:cstheme="minorEastAsia"/>
                <w:sz w:val="21"/>
                <w:szCs w:val="21"/>
                <w:lang w:val="en-US" w:eastAsia="zh-CN"/>
              </w:rPr>
              <w:t>2019年10月08日</w:t>
            </w:r>
            <w:r>
              <w:rPr>
                <w:rFonts w:hint="eastAsia" w:asciiTheme="minorEastAsia" w:hAnsiTheme="minorEastAsia" w:eastAsiaTheme="minorEastAsia" w:cstheme="minorEastAsia"/>
                <w:color w:val="auto"/>
                <w:sz w:val="21"/>
                <w:szCs w:val="21"/>
              </w:rPr>
              <w:t>。</w:t>
            </w:r>
          </w:p>
          <w:p>
            <w:pPr>
              <w:spacing w:line="4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查，管理体系文件名称：</w:t>
            </w:r>
            <w:r>
              <w:rPr>
                <w:rFonts w:hint="eastAsia" w:asciiTheme="minorEastAsia" w:hAnsiTheme="minorEastAsia" w:eastAsiaTheme="minorEastAsia" w:cstheme="minorEastAsia"/>
                <w:color w:val="auto"/>
                <w:kern w:val="44"/>
                <w:sz w:val="21"/>
                <w:szCs w:val="21"/>
              </w:rPr>
              <w:t>质量手册，程序文件</w:t>
            </w:r>
            <w:r>
              <w:rPr>
                <w:rFonts w:hint="eastAsia" w:asciiTheme="minorEastAsia" w:hAnsiTheme="minorEastAsia" w:eastAsiaTheme="minorEastAsia" w:cstheme="minorEastAsia"/>
                <w:color w:val="auto"/>
                <w:kern w:val="44"/>
                <w:sz w:val="21"/>
                <w:szCs w:val="21"/>
                <w:lang w:val="en-US" w:eastAsia="zh-CN"/>
              </w:rPr>
              <w:t>等，</w:t>
            </w:r>
            <w:r>
              <w:rPr>
                <w:rFonts w:hint="eastAsia" w:asciiTheme="minorEastAsia" w:hAnsiTheme="minorEastAsia" w:eastAsiaTheme="minorEastAsia" w:cstheme="minorEastAsia"/>
                <w:color w:val="auto"/>
                <w:sz w:val="21"/>
                <w:szCs w:val="21"/>
              </w:rPr>
              <w:t>组织实际与管理体系文件化信息描述基本一致。</w:t>
            </w:r>
          </w:p>
        </w:tc>
        <w:tc>
          <w:tcPr>
            <w:tcW w:w="628" w:type="dxa"/>
            <w:vAlign w:val="top"/>
          </w:tcPr>
          <w:p>
            <w:pPr>
              <w:spacing w:line="4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符合</w:t>
            </w:r>
          </w:p>
          <w:p>
            <w:pPr>
              <w:spacing w:line="440" w:lineRule="exact"/>
              <w:rPr>
                <w:rFonts w:ascii="宋体" w:hAnsi="宋体"/>
                <w:color w:val="auto"/>
                <w:szCs w:val="21"/>
              </w:rPr>
            </w:pPr>
          </w:p>
          <w:p>
            <w:pPr>
              <w:spacing w:line="440" w:lineRule="exact"/>
              <w:jc w:val="center"/>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both"/>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400" w:lineRule="exact"/>
              <w:rPr>
                <w:rFonts w:ascii="宋体" w:hAnsi="宋体"/>
                <w:color w:val="auto"/>
                <w:szCs w:val="21"/>
              </w:rPr>
            </w:pPr>
            <w:r>
              <w:rPr>
                <w:rFonts w:hint="eastAsia" w:ascii="宋体" w:hAnsi="宋体"/>
                <w:color w:val="auto"/>
                <w:szCs w:val="21"/>
              </w:rPr>
              <w:t>方针及目标、指标及方案</w:t>
            </w:r>
          </w:p>
          <w:p>
            <w:pPr>
              <w:spacing w:line="400" w:lineRule="exact"/>
              <w:rPr>
                <w:rFonts w:hint="eastAsia" w:asciiTheme="minorEastAsia" w:hAnsiTheme="minorEastAsia" w:eastAsiaTheme="minorEastAsia" w:cstheme="minorEastAsia"/>
                <w:color w:val="auto"/>
                <w:sz w:val="21"/>
                <w:szCs w:val="21"/>
              </w:rPr>
            </w:pPr>
          </w:p>
        </w:tc>
        <w:tc>
          <w:tcPr>
            <w:tcW w:w="960" w:type="dxa"/>
            <w:vAlign w:val="top"/>
          </w:tcPr>
          <w:p>
            <w:pPr>
              <w:adjustRightInd w:val="0"/>
              <w:snapToGrid w:val="0"/>
              <w:rPr>
                <w:rFonts w:ascii="宋体" w:hAnsi="宋体" w:cs="宋体"/>
                <w:color w:val="auto"/>
                <w:szCs w:val="21"/>
              </w:rPr>
            </w:pPr>
            <w:r>
              <w:rPr>
                <w:rFonts w:hint="eastAsia" w:ascii="宋体" w:hAnsi="宋体"/>
                <w:color w:val="auto"/>
                <w:szCs w:val="21"/>
                <w:lang w:val="en-US" w:eastAsia="zh-CN"/>
              </w:rPr>
              <w:t>Q/E/S:</w:t>
            </w:r>
            <w:r>
              <w:rPr>
                <w:rFonts w:hint="eastAsia" w:ascii="宋体" w:hAnsi="宋体" w:cs="宋体"/>
                <w:color w:val="auto"/>
                <w:szCs w:val="21"/>
                <w:lang w:val="en-US" w:eastAsia="zh-CN"/>
              </w:rPr>
              <w:t>5</w:t>
            </w:r>
            <w:r>
              <w:rPr>
                <w:rFonts w:hint="eastAsia" w:ascii="宋体" w:hAnsi="宋体" w:cs="宋体"/>
                <w:color w:val="auto"/>
                <w:szCs w:val="21"/>
              </w:rPr>
              <w:t>.1;</w:t>
            </w:r>
            <w:r>
              <w:rPr>
                <w:rFonts w:hint="eastAsia" w:ascii="宋体" w:hAnsi="宋体" w:cs="宋体"/>
                <w:color w:val="auto"/>
                <w:szCs w:val="21"/>
                <w:lang w:val="en-US" w:eastAsia="zh-CN"/>
              </w:rPr>
              <w:t>6</w:t>
            </w:r>
            <w:r>
              <w:rPr>
                <w:rFonts w:hint="eastAsia" w:ascii="宋体" w:hAnsi="宋体" w:cs="宋体"/>
                <w:color w:val="auto"/>
                <w:szCs w:val="21"/>
              </w:rPr>
              <w:t>.2</w:t>
            </w:r>
          </w:p>
          <w:p>
            <w:pPr>
              <w:spacing w:line="440" w:lineRule="exact"/>
              <w:jc w:val="center"/>
              <w:rPr>
                <w:rFonts w:hint="eastAsia" w:asciiTheme="minorEastAsia" w:hAnsiTheme="minorEastAsia" w:eastAsiaTheme="minorEastAsia" w:cstheme="minorEastAsia"/>
                <w:color w:val="auto"/>
                <w:sz w:val="21"/>
                <w:szCs w:val="21"/>
              </w:rPr>
            </w:pPr>
          </w:p>
        </w:tc>
        <w:tc>
          <w:tcPr>
            <w:tcW w:w="10961" w:type="dxa"/>
            <w:vAlign w:val="top"/>
          </w:tcPr>
          <w:p>
            <w:pPr>
              <w:rPr>
                <w:rFonts w:hint="eastAsia"/>
              </w:rPr>
            </w:pPr>
            <w:r>
              <w:rPr>
                <w:rFonts w:hint="eastAsia"/>
              </w:rPr>
              <w:t>质量/环境/安全方针为：</w:t>
            </w:r>
          </w:p>
          <w:p>
            <w:pPr>
              <w:ind w:firstLine="420" w:firstLineChars="200"/>
              <w:rPr>
                <w:rFonts w:hint="eastAsia"/>
              </w:rPr>
            </w:pPr>
            <w:r>
              <w:rPr>
                <w:rFonts w:hint="eastAsia"/>
              </w:rPr>
              <w:t>诚信至上，质量为主，优质高效；节能降耗，防治污染，保护环境；安全第一，保障健康，减少风险；全员参与，遵守法规，持续改进。</w:t>
            </w:r>
          </w:p>
          <w:p>
            <w:pPr>
              <w:ind w:firstLine="420" w:firstLineChars="200"/>
              <w:rPr>
                <w:rFonts w:hint="eastAsia"/>
              </w:rPr>
            </w:pPr>
            <w:r>
              <w:rPr>
                <w:rFonts w:hint="eastAsia"/>
              </w:rPr>
              <w:t xml:space="preserve"> </w:t>
            </w:r>
          </w:p>
          <w:p>
            <w:pPr>
              <w:spacing w:line="400" w:lineRule="exact"/>
              <w:rPr>
                <w:rFonts w:hint="eastAsia"/>
              </w:rPr>
            </w:pPr>
            <w:r>
              <w:rPr>
                <w:rFonts w:hint="eastAsia"/>
              </w:rPr>
              <w:t>目标、指标及方案</w:t>
            </w:r>
          </w:p>
          <w:p>
            <w:pPr>
              <w:rPr>
                <w:rFonts w:hint="eastAsia"/>
                <w:lang w:val="en-US" w:eastAsia="zh-CN"/>
              </w:rPr>
            </w:pPr>
            <w:r>
              <w:rPr>
                <w:rFonts w:hint="eastAsia"/>
                <w:lang w:val="en-US" w:eastAsia="zh-CN"/>
              </w:rPr>
              <w:t>顾客满意度≥95%                                 96%</w:t>
            </w:r>
          </w:p>
          <w:p>
            <w:pPr>
              <w:rPr>
                <w:rFonts w:hint="eastAsia"/>
                <w:lang w:val="en-US" w:eastAsia="zh-CN"/>
              </w:rPr>
            </w:pPr>
            <w:r>
              <w:rPr>
                <w:rFonts w:hint="eastAsia"/>
                <w:lang w:val="en-US" w:eastAsia="zh-CN"/>
              </w:rPr>
              <w:t>固体废弃物100％收集处置                        100%</w:t>
            </w:r>
          </w:p>
          <w:p>
            <w:pPr>
              <w:rPr>
                <w:rFonts w:hint="eastAsia"/>
                <w:lang w:val="en-US" w:eastAsia="zh-CN"/>
              </w:rPr>
            </w:pPr>
            <w:r>
              <w:rPr>
                <w:rFonts w:hint="eastAsia"/>
                <w:lang w:val="en-US" w:eastAsia="zh-CN"/>
              </w:rPr>
              <w:t>废气排放达标率100%                             100%</w:t>
            </w:r>
          </w:p>
          <w:p>
            <w:pPr>
              <w:rPr>
                <w:rFonts w:hint="eastAsia"/>
                <w:lang w:val="en-US" w:eastAsia="zh-CN"/>
              </w:rPr>
            </w:pPr>
            <w:r>
              <w:rPr>
                <w:rFonts w:hint="eastAsia"/>
                <w:lang w:val="en-US" w:eastAsia="zh-CN"/>
              </w:rPr>
              <w:t>噪声排放达标率100%                             100%</w:t>
            </w:r>
          </w:p>
          <w:p>
            <w:pPr>
              <w:rPr>
                <w:rFonts w:hint="eastAsia"/>
                <w:lang w:val="en-US" w:eastAsia="zh-CN"/>
              </w:rPr>
            </w:pPr>
            <w:r>
              <w:rPr>
                <w:rFonts w:hint="eastAsia"/>
                <w:lang w:val="en-US" w:eastAsia="zh-CN"/>
              </w:rPr>
              <w:t>火灾事故为0                                    0</w:t>
            </w:r>
          </w:p>
          <w:p>
            <w:pPr>
              <w:rPr>
                <w:rFonts w:hint="eastAsia"/>
                <w:lang w:val="en-US" w:eastAsia="zh-CN"/>
              </w:rPr>
            </w:pPr>
            <w:r>
              <w:rPr>
                <w:rFonts w:hint="eastAsia"/>
                <w:lang w:val="en-US" w:eastAsia="zh-CN"/>
              </w:rPr>
              <w:t xml:space="preserve">职业病发生事故为0人次                         0 </w:t>
            </w:r>
          </w:p>
          <w:p>
            <w:pPr>
              <w:rPr>
                <w:rFonts w:hint="eastAsia"/>
                <w:lang w:val="en-US" w:eastAsia="zh-CN"/>
              </w:rPr>
            </w:pPr>
            <w:r>
              <w:rPr>
                <w:rFonts w:hint="eastAsia"/>
                <w:lang w:val="en-US" w:eastAsia="zh-CN"/>
              </w:rPr>
              <w:t>控制年工伤事故为≤3人次                        0</w:t>
            </w:r>
          </w:p>
          <w:p>
            <w:pPr>
              <w:rPr>
                <w:rFonts w:hint="eastAsia"/>
                <w:lang w:val="en-US" w:eastAsia="zh-CN"/>
              </w:rPr>
            </w:pPr>
            <w:r>
              <w:rPr>
                <w:rFonts w:hint="eastAsia"/>
                <w:lang w:val="en-US" w:eastAsia="zh-CN"/>
              </w:rPr>
              <w:t>人员死亡事故为0人次                           0</w:t>
            </w:r>
          </w:p>
          <w:p>
            <w:pPr>
              <w:rPr>
                <w:rFonts w:hint="eastAsia"/>
                <w:lang w:val="en-US" w:eastAsia="zh-CN"/>
              </w:rPr>
            </w:pPr>
            <w:r>
              <w:rPr>
                <w:rFonts w:hint="eastAsia"/>
              </w:rPr>
              <w:t>每</w:t>
            </w:r>
            <w:r>
              <w:rPr>
                <w:rFonts w:hint="eastAsia"/>
                <w:lang w:val="en-US" w:eastAsia="zh-CN"/>
              </w:rPr>
              <w:t>季度</w:t>
            </w:r>
            <w:r>
              <w:rPr>
                <w:rFonts w:hint="eastAsia"/>
              </w:rPr>
              <w:t>进行一次考核。</w:t>
            </w:r>
            <w:r>
              <w:rPr>
                <w:rFonts w:hint="eastAsia"/>
                <w:lang w:val="en-US" w:eastAsia="zh-CN"/>
              </w:rPr>
              <w:t xml:space="preserve">   </w:t>
            </w:r>
            <w:r>
              <w:rPr>
                <w:rFonts w:hint="eastAsia"/>
                <w:lang w:eastAsia="zh-CN"/>
              </w:rPr>
              <w:t>审批</w:t>
            </w:r>
            <w:r>
              <w:rPr>
                <w:rFonts w:hint="eastAsia"/>
              </w:rPr>
              <w:t>：</w:t>
            </w:r>
            <w:r>
              <w:rPr>
                <w:rFonts w:hint="eastAsia"/>
                <w:lang w:eastAsia="zh-CN"/>
              </w:rPr>
              <w:t>何永</w:t>
            </w:r>
            <w:r>
              <w:rPr>
                <w:rFonts w:hint="eastAsia"/>
                <w:lang w:val="en-US" w:eastAsia="zh-CN"/>
              </w:rPr>
              <w:t xml:space="preserve">      </w:t>
            </w:r>
            <w:r>
              <w:rPr>
                <w:rFonts w:hint="eastAsia"/>
                <w:lang w:eastAsia="zh-CN"/>
              </w:rPr>
              <w:t>时间：</w:t>
            </w:r>
            <w:r>
              <w:rPr>
                <w:rFonts w:hint="eastAsia"/>
                <w:lang w:val="en-US" w:eastAsia="zh-CN"/>
              </w:rPr>
              <w:t>2020.4.1</w:t>
            </w:r>
          </w:p>
          <w:p>
            <w:pPr>
              <w:ind w:firstLine="420" w:firstLineChars="200"/>
              <w:rPr>
                <w:rFonts w:hint="eastAsia"/>
              </w:rPr>
            </w:pPr>
            <w:r>
              <w:rPr>
                <w:rFonts w:hint="eastAsia"/>
              </w:rPr>
              <w:t>目标可测量，与公司管理方针一致。</w:t>
            </w:r>
          </w:p>
          <w:p>
            <w:pPr>
              <w:pStyle w:val="2"/>
              <w:rPr>
                <w:rFonts w:hint="eastAsia"/>
              </w:rPr>
            </w:pPr>
            <w:r>
              <w:rPr>
                <w:rFonts w:hint="eastAsia" w:asciiTheme="minorEastAsia" w:hAnsiTheme="minorEastAsia" w:eastAsiaTheme="minorEastAsia" w:cstheme="minorEastAsia"/>
                <w:sz w:val="21"/>
                <w:szCs w:val="21"/>
                <w:highlight w:val="none"/>
              </w:rPr>
              <w:t>管理方案：</w:t>
            </w:r>
            <w:r>
              <w:rPr>
                <w:rFonts w:hint="eastAsia" w:asciiTheme="minorEastAsia" w:hAnsiTheme="minorEastAsia" w:eastAsiaTheme="minorEastAsia" w:cstheme="minorEastAsia"/>
                <w:sz w:val="21"/>
                <w:szCs w:val="21"/>
                <w:highlight w:val="none"/>
                <w:lang w:val="en-US" w:eastAsia="zh-CN"/>
              </w:rPr>
              <w:t>1)严格执行《消防管理控制程序》、和《应急准备与响应控制程序》。2)组织相关岗位人员培训学习并认真贯彻实施上述规定。3)落实施工安全责任制，加大消防检查力度。4)对重点部位按防火要求配备环保型灭火器材等，二阶段详查。</w:t>
            </w:r>
          </w:p>
        </w:tc>
        <w:tc>
          <w:tcPr>
            <w:tcW w:w="628" w:type="dxa"/>
            <w:vAlign w:val="top"/>
          </w:tcPr>
          <w:p>
            <w:pPr>
              <w:spacing w:line="44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符合</w:t>
            </w:r>
          </w:p>
          <w:p>
            <w:pPr>
              <w:spacing w:line="440" w:lineRule="exact"/>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vAlign w:val="top"/>
          </w:tcPr>
          <w:p>
            <w:pPr>
              <w:spacing w:line="400" w:lineRule="exact"/>
              <w:rPr>
                <w:rFonts w:hint="eastAsia" w:asciiTheme="minorEastAsia" w:hAnsiTheme="minorEastAsia" w:eastAsiaTheme="minorEastAsia" w:cstheme="minorEastAsia"/>
                <w:color w:val="auto"/>
                <w:sz w:val="21"/>
                <w:szCs w:val="21"/>
              </w:rPr>
            </w:pPr>
            <w:r>
              <w:rPr>
                <w:rFonts w:hint="eastAsia" w:ascii="宋体" w:hAnsi="宋体"/>
                <w:color w:val="auto"/>
                <w:szCs w:val="21"/>
              </w:rPr>
              <w:t>内部审核：</w:t>
            </w:r>
          </w:p>
        </w:tc>
        <w:tc>
          <w:tcPr>
            <w:tcW w:w="960" w:type="dxa"/>
            <w:vAlign w:val="top"/>
          </w:tcPr>
          <w:p>
            <w:pPr>
              <w:adjustRightInd w:val="0"/>
              <w:snapToGrid w:val="0"/>
              <w:rPr>
                <w:rFonts w:hint="default" w:ascii="宋体" w:hAnsi="宋体" w:cs="宋体"/>
                <w:color w:val="auto"/>
                <w:szCs w:val="21"/>
                <w:lang w:val="en-US"/>
              </w:rPr>
            </w:pPr>
            <w:r>
              <w:rPr>
                <w:rFonts w:hint="eastAsia" w:ascii="宋体" w:hAnsi="宋体"/>
                <w:color w:val="auto"/>
                <w:szCs w:val="21"/>
                <w:lang w:val="en-US" w:eastAsia="zh-CN"/>
              </w:rPr>
              <w:t>Q/E/S:</w:t>
            </w:r>
            <w:r>
              <w:rPr>
                <w:rFonts w:hint="eastAsia" w:ascii="宋体" w:hAnsi="宋体" w:cs="宋体"/>
                <w:color w:val="auto"/>
                <w:szCs w:val="21"/>
                <w:lang w:val="en-US" w:eastAsia="zh-CN"/>
              </w:rPr>
              <w:t>9.2</w:t>
            </w:r>
          </w:p>
          <w:p>
            <w:pPr>
              <w:spacing w:line="440" w:lineRule="exact"/>
              <w:jc w:val="center"/>
              <w:rPr>
                <w:rFonts w:hint="eastAsia" w:asciiTheme="minorEastAsia" w:hAnsiTheme="minorEastAsia" w:eastAsiaTheme="minorEastAsia" w:cstheme="minorEastAsia"/>
                <w:color w:val="auto"/>
                <w:sz w:val="21"/>
                <w:szCs w:val="21"/>
              </w:rPr>
            </w:pPr>
          </w:p>
        </w:tc>
        <w:tc>
          <w:tcPr>
            <w:tcW w:w="10961" w:type="dxa"/>
            <w:vAlign w:val="top"/>
          </w:tcPr>
          <w:p>
            <w:pP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有</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内部审核控制程序</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有《内审计划》</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sz w:val="21"/>
                <w:szCs w:val="21"/>
              </w:rPr>
              <w:t>2020年1月10日—11日开展管理体系内部</w:t>
            </w:r>
            <w:r>
              <w:rPr>
                <w:rFonts w:hint="eastAsia" w:asciiTheme="minorEastAsia" w:hAnsiTheme="minorEastAsia" w:eastAsiaTheme="minorEastAsia" w:cstheme="minorEastAsia"/>
                <w:sz w:val="21"/>
                <w:szCs w:val="21"/>
              </w:rPr>
              <w:t>审核活动，并提供有以下内审的资料：《</w:t>
            </w:r>
            <w:r>
              <w:rPr>
                <w:rFonts w:hint="eastAsia" w:asciiTheme="minorEastAsia" w:hAnsiTheme="minorEastAsia" w:eastAsiaTheme="minorEastAsia" w:cstheme="minorEastAsia"/>
                <w:sz w:val="21"/>
                <w:szCs w:val="21"/>
                <w:lang w:val="en-US" w:eastAsia="zh-CN"/>
              </w:rPr>
              <w:t>2020年度内部审核计划</w:t>
            </w:r>
            <w:r>
              <w:rPr>
                <w:rFonts w:hint="eastAsia" w:asciiTheme="minorEastAsia" w:hAnsiTheme="minorEastAsia" w:eastAsiaTheme="minorEastAsia" w:cstheme="minorEastAsia"/>
                <w:sz w:val="21"/>
                <w:szCs w:val="21"/>
              </w:rPr>
              <w:t>》，编制：</w:t>
            </w:r>
            <w:r>
              <w:rPr>
                <w:rFonts w:hint="eastAsia" w:asciiTheme="minorEastAsia" w:hAnsiTheme="minorEastAsia" w:eastAsiaTheme="minorEastAsia" w:cstheme="minorEastAsia"/>
                <w:sz w:val="21"/>
                <w:szCs w:val="21"/>
                <w:lang w:val="en-US" w:eastAsia="zh-CN"/>
              </w:rPr>
              <w:t xml:space="preserve">张国 </w:t>
            </w: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20.1.4</w:t>
            </w:r>
            <w:r>
              <w:rPr>
                <w:rFonts w:hint="eastAsia" w:asciiTheme="minorEastAsia" w:hAnsiTheme="minorEastAsia" w:eastAsiaTheme="minorEastAsia" w:cstheme="minorEastAsia"/>
                <w:sz w:val="21"/>
                <w:szCs w:val="21"/>
              </w:rPr>
              <w:t xml:space="preserve"> 批准</w:t>
            </w:r>
            <w:r>
              <w:rPr>
                <w:rFonts w:hint="eastAsia" w:asciiTheme="minorEastAsia" w:hAnsiTheme="minorEastAsia" w:eastAsiaTheme="minorEastAsia" w:cstheme="minorEastAsia"/>
                <w:sz w:val="21"/>
                <w:szCs w:val="21"/>
                <w:lang w:eastAsia="zh-CN"/>
              </w:rPr>
              <w:t>：张永</w:t>
            </w: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20.1.5</w:t>
            </w:r>
            <w:r>
              <w:rPr>
                <w:rFonts w:hint="eastAsia" w:asciiTheme="minorEastAsia" w:hAnsiTheme="minorEastAsia" w:eastAsiaTheme="minorEastAsia" w:cstheme="minorEastAsia"/>
                <w:color w:val="auto"/>
                <w:kern w:val="0"/>
                <w:sz w:val="21"/>
                <w:szCs w:val="21"/>
                <w:lang w:eastAsia="zh-CN"/>
              </w:rPr>
              <w:tab/>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有各部门《内审检查表》</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有《内审报告》，结论：体系基本</w:t>
            </w:r>
            <w:r>
              <w:rPr>
                <w:rFonts w:hint="eastAsia" w:asciiTheme="minorEastAsia" w:hAnsiTheme="minorEastAsia" w:eastAsiaTheme="minorEastAsia" w:cstheme="minorEastAsia"/>
                <w:color w:val="auto"/>
                <w:kern w:val="0"/>
                <w:sz w:val="21"/>
                <w:szCs w:val="21"/>
                <w:lang w:val="en-US" w:eastAsia="zh-CN"/>
              </w:rPr>
              <w:t>符合</w:t>
            </w:r>
            <w:r>
              <w:rPr>
                <w:rFonts w:hint="eastAsia" w:asciiTheme="minorEastAsia" w:hAnsiTheme="minorEastAsia" w:eastAsiaTheme="minorEastAsia" w:cstheme="minorEastAsia"/>
                <w:color w:val="auto"/>
                <w:kern w:val="0"/>
                <w:sz w:val="21"/>
                <w:szCs w:val="21"/>
              </w:rPr>
              <w:t>标准要求，运行基本正常；</w:t>
            </w:r>
          </w:p>
        </w:tc>
        <w:tc>
          <w:tcPr>
            <w:tcW w:w="628" w:type="dxa"/>
            <w:vAlign w:val="top"/>
          </w:tcPr>
          <w:p>
            <w:pPr>
              <w:spacing w:line="440" w:lineRule="exact"/>
              <w:jc w:val="center"/>
              <w:rPr>
                <w:rFonts w:hint="eastAsia" w:asciiTheme="minorEastAsia" w:hAnsiTheme="minorEastAsia" w:eastAsiaTheme="minorEastAsia" w:cstheme="minorEastAsia"/>
                <w:color w:val="auto"/>
                <w:sz w:val="21"/>
                <w:szCs w:val="21"/>
              </w:rPr>
            </w:pPr>
            <w:r>
              <w:rPr>
                <w:rFonts w:hint="eastAsia" w:ascii="宋体" w:hAnsi="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160" w:type="dxa"/>
            <w:vAlign w:val="top"/>
          </w:tcPr>
          <w:p>
            <w:pPr>
              <w:spacing w:line="400" w:lineRule="exact"/>
              <w:rPr>
                <w:rFonts w:ascii="宋体" w:hAnsi="宋体"/>
                <w:color w:val="auto"/>
                <w:szCs w:val="21"/>
              </w:rPr>
            </w:pPr>
            <w:r>
              <w:rPr>
                <w:rFonts w:hint="eastAsia" w:ascii="宋体" w:hAnsi="宋体"/>
                <w:color w:val="auto"/>
                <w:szCs w:val="21"/>
              </w:rPr>
              <w:t>管理评审：</w:t>
            </w:r>
          </w:p>
          <w:p>
            <w:pPr>
              <w:spacing w:line="400" w:lineRule="exact"/>
              <w:rPr>
                <w:rFonts w:ascii="宋体" w:hAnsi="宋体"/>
                <w:color w:val="auto"/>
                <w:szCs w:val="21"/>
              </w:rPr>
            </w:pPr>
          </w:p>
          <w:p>
            <w:pPr>
              <w:spacing w:line="400" w:lineRule="exact"/>
              <w:rPr>
                <w:rFonts w:hint="eastAsia" w:asciiTheme="minorEastAsia" w:hAnsiTheme="minorEastAsia" w:eastAsiaTheme="minorEastAsia" w:cstheme="minorEastAsia"/>
                <w:color w:val="auto"/>
                <w:sz w:val="21"/>
                <w:szCs w:val="21"/>
              </w:rPr>
            </w:pPr>
          </w:p>
        </w:tc>
        <w:tc>
          <w:tcPr>
            <w:tcW w:w="960" w:type="dxa"/>
            <w:vAlign w:val="top"/>
          </w:tcPr>
          <w:p>
            <w:pPr>
              <w:adjustRightInd w:val="0"/>
              <w:snapToGrid w:val="0"/>
              <w:rPr>
                <w:rFonts w:hint="default" w:ascii="宋体" w:hAnsi="宋体" w:cs="宋体"/>
                <w:color w:val="auto"/>
                <w:szCs w:val="21"/>
                <w:lang w:val="en-US"/>
              </w:rPr>
            </w:pPr>
            <w:r>
              <w:rPr>
                <w:rFonts w:hint="eastAsia" w:ascii="宋体" w:hAnsi="宋体"/>
                <w:color w:val="auto"/>
                <w:szCs w:val="21"/>
                <w:lang w:val="en-US" w:eastAsia="zh-CN"/>
              </w:rPr>
              <w:t>Q/E/S:</w:t>
            </w:r>
            <w:r>
              <w:rPr>
                <w:rFonts w:hint="eastAsia" w:ascii="宋体" w:hAnsi="宋体" w:cs="宋体"/>
                <w:color w:val="auto"/>
                <w:szCs w:val="21"/>
                <w:lang w:val="en-US" w:eastAsia="zh-CN"/>
              </w:rPr>
              <w:t>9.3</w:t>
            </w:r>
          </w:p>
          <w:p>
            <w:pPr>
              <w:spacing w:line="440" w:lineRule="exact"/>
              <w:jc w:val="center"/>
              <w:rPr>
                <w:rFonts w:hint="eastAsia" w:asciiTheme="minorEastAsia" w:hAnsiTheme="minorEastAsia" w:eastAsiaTheme="minorEastAsia" w:cstheme="minorEastAsia"/>
                <w:color w:val="auto"/>
                <w:sz w:val="21"/>
                <w:szCs w:val="21"/>
              </w:rPr>
            </w:pPr>
          </w:p>
        </w:tc>
        <w:tc>
          <w:tcPr>
            <w:tcW w:w="10961" w:type="dxa"/>
            <w:vAlign w:val="top"/>
          </w:tcPr>
          <w:p>
            <w:pPr>
              <w:spacing w:line="3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查见《管理评审计划》、《管理评审会议记录》</w:t>
            </w:r>
          </w:p>
          <w:p>
            <w:pPr>
              <w:spacing w:line="380" w:lineRule="exac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管理评审的时间：20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rPr>
              <w:t>日由</w:t>
            </w:r>
            <w:r>
              <w:rPr>
                <w:rFonts w:hint="eastAsia" w:asciiTheme="minorEastAsia" w:hAnsiTheme="minorEastAsia" w:eastAsiaTheme="minorEastAsia" w:cstheme="minorEastAsia"/>
                <w:color w:val="auto"/>
                <w:sz w:val="21"/>
                <w:szCs w:val="21"/>
                <w:lang w:val="en-US" w:eastAsia="zh-CN"/>
              </w:rPr>
              <w:t>总经理</w:t>
            </w:r>
            <w:r>
              <w:rPr>
                <w:rFonts w:hint="eastAsia" w:asciiTheme="minorEastAsia" w:hAnsiTheme="minorEastAsia" w:eastAsiaTheme="minorEastAsia" w:cstheme="minorEastAsia"/>
                <w:color w:val="auto"/>
                <w:sz w:val="21"/>
                <w:szCs w:val="21"/>
              </w:rPr>
              <w:t>主持完成。</w:t>
            </w:r>
          </w:p>
          <w:p>
            <w:pPr>
              <w:adjustRightInd w:val="0"/>
              <w:spacing w:line="400" w:lineRule="exact"/>
              <w:textAlignment w:val="baseline"/>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提供主要输入材料有：各部门总结，输入信息基本充分和满足要求。</w:t>
            </w:r>
          </w:p>
          <w:p>
            <w:pPr>
              <w:adjustRightInd w:val="0"/>
              <w:spacing w:line="400" w:lineRule="exact"/>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输出见“管理评审报告”, 做出了管理体系基本适宜、充分和有效的评审结论。</w:t>
            </w:r>
          </w:p>
        </w:tc>
        <w:tc>
          <w:tcPr>
            <w:tcW w:w="628" w:type="dxa"/>
            <w:vAlign w:val="top"/>
          </w:tcPr>
          <w:p>
            <w:pPr>
              <w:spacing w:line="4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符合</w:t>
            </w:r>
          </w:p>
          <w:p>
            <w:pPr>
              <w:spacing w:line="440" w:lineRule="exact"/>
              <w:jc w:val="center"/>
              <w:rPr>
                <w:rFonts w:hint="eastAsia"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400" w:lineRule="exact"/>
              <w:rPr>
                <w:rFonts w:ascii="宋体" w:hAnsi="宋体"/>
                <w:color w:val="auto"/>
                <w:szCs w:val="21"/>
                <w:highlight w:val="none"/>
              </w:rPr>
            </w:pPr>
            <w:r>
              <w:rPr>
                <w:rFonts w:hint="eastAsia" w:ascii="宋体" w:hAnsi="宋体"/>
                <w:color w:val="auto"/>
                <w:szCs w:val="21"/>
                <w:highlight w:val="none"/>
              </w:rPr>
              <w:t>相关法规</w:t>
            </w:r>
          </w:p>
          <w:p>
            <w:pPr>
              <w:spacing w:line="400" w:lineRule="exact"/>
              <w:rPr>
                <w:rFonts w:ascii="宋体" w:hAnsi="宋体"/>
                <w:color w:val="auto"/>
                <w:szCs w:val="21"/>
                <w:highlight w:val="none"/>
              </w:rPr>
            </w:pPr>
          </w:p>
          <w:p>
            <w:pPr>
              <w:spacing w:line="400" w:lineRule="exact"/>
              <w:rPr>
                <w:rFonts w:hint="eastAsia" w:ascii="宋体" w:hAnsi="宋体"/>
                <w:color w:val="auto"/>
                <w:szCs w:val="21"/>
                <w:highlight w:val="none"/>
              </w:rPr>
            </w:pPr>
          </w:p>
          <w:p>
            <w:pPr>
              <w:spacing w:line="400" w:lineRule="exact"/>
              <w:rPr>
                <w:rFonts w:hint="eastAsia" w:ascii="宋体" w:hAnsi="宋体"/>
                <w:color w:val="auto"/>
                <w:szCs w:val="21"/>
                <w:highlight w:val="none"/>
              </w:rPr>
            </w:pPr>
          </w:p>
          <w:p>
            <w:pPr>
              <w:spacing w:line="400" w:lineRule="exact"/>
              <w:rPr>
                <w:rFonts w:hint="eastAsia" w:ascii="宋体" w:hAnsi="宋体"/>
                <w:color w:val="auto"/>
                <w:szCs w:val="21"/>
                <w:highlight w:val="none"/>
              </w:rPr>
            </w:pPr>
            <w:r>
              <w:rPr>
                <w:rFonts w:hint="eastAsia" w:ascii="宋体" w:hAnsi="宋体"/>
                <w:color w:val="auto"/>
                <w:szCs w:val="21"/>
                <w:highlight w:val="none"/>
              </w:rPr>
              <w:t>环评报告及环评验收</w:t>
            </w:r>
          </w:p>
          <w:p>
            <w:pPr>
              <w:spacing w:line="400" w:lineRule="exact"/>
              <w:rPr>
                <w:rFonts w:hint="eastAsia"/>
                <w:color w:val="auto"/>
                <w:szCs w:val="21"/>
                <w:highlight w:val="none"/>
              </w:rPr>
            </w:pPr>
            <w:r>
              <w:rPr>
                <w:rFonts w:hint="eastAsia"/>
                <w:color w:val="auto"/>
                <w:szCs w:val="21"/>
                <w:highlight w:val="none"/>
              </w:rPr>
              <w:t>环境相关监测报告（EMS）</w:t>
            </w:r>
          </w:p>
          <w:p>
            <w:pPr>
              <w:pStyle w:val="2"/>
              <w:rPr>
                <w:rFonts w:hint="eastAsia"/>
              </w:rPr>
            </w:pPr>
          </w:p>
          <w:p>
            <w:pPr>
              <w:spacing w:line="400" w:lineRule="exact"/>
            </w:pPr>
            <w:r>
              <w:rPr>
                <w:rFonts w:hint="eastAsia"/>
                <w:color w:val="auto"/>
                <w:szCs w:val="21"/>
                <w:highlight w:val="none"/>
              </w:rPr>
              <w:t>职业健康相关监测报告（OHSMS）</w:t>
            </w:r>
          </w:p>
          <w:p>
            <w:pPr>
              <w:spacing w:line="400" w:lineRule="exact"/>
              <w:rPr>
                <w:rFonts w:hint="eastAsia"/>
                <w:color w:val="auto"/>
                <w:szCs w:val="21"/>
                <w:highlight w:val="none"/>
              </w:rPr>
            </w:pPr>
            <w:r>
              <w:rPr>
                <w:rFonts w:hint="eastAsia"/>
                <w:color w:val="auto"/>
                <w:szCs w:val="21"/>
                <w:highlight w:val="none"/>
              </w:rPr>
              <w:t>产品质量监督抽查情况（QMS）</w:t>
            </w:r>
          </w:p>
          <w:p>
            <w:pPr>
              <w:spacing w:line="400" w:lineRule="exact"/>
              <w:rPr>
                <w:rFonts w:hint="eastAsia"/>
                <w:color w:val="auto"/>
                <w:szCs w:val="21"/>
                <w:highlight w:val="none"/>
              </w:rPr>
            </w:pPr>
          </w:p>
          <w:p>
            <w:pPr>
              <w:spacing w:line="400" w:lineRule="exact"/>
              <w:rPr>
                <w:rFonts w:hint="eastAsia" w:asciiTheme="minorEastAsia" w:hAnsiTheme="minorEastAsia" w:eastAsiaTheme="minorEastAsia" w:cstheme="minorEastAsia"/>
                <w:color w:val="auto"/>
                <w:sz w:val="21"/>
                <w:szCs w:val="21"/>
              </w:rPr>
            </w:pPr>
            <w:r>
              <w:rPr>
                <w:rFonts w:hint="eastAsia"/>
                <w:color w:val="auto"/>
                <w:szCs w:val="21"/>
                <w:highlight w:val="none"/>
              </w:rPr>
              <w:t xml:space="preserve">合规性评价报告 </w:t>
            </w:r>
          </w:p>
        </w:tc>
        <w:tc>
          <w:tcPr>
            <w:tcW w:w="960" w:type="dxa"/>
            <w:vAlign w:val="top"/>
          </w:tcPr>
          <w:p>
            <w:pPr>
              <w:spacing w:line="440" w:lineRule="exact"/>
              <w:jc w:val="center"/>
              <w:rPr>
                <w:rFonts w:hint="eastAsia" w:asciiTheme="minorEastAsia" w:hAnsiTheme="minorEastAsia" w:eastAsiaTheme="minorEastAsia" w:cstheme="minorEastAsia"/>
                <w:color w:val="auto"/>
                <w:sz w:val="21"/>
                <w:szCs w:val="21"/>
              </w:rPr>
            </w:pPr>
          </w:p>
        </w:tc>
        <w:tc>
          <w:tcPr>
            <w:tcW w:w="10961" w:type="dxa"/>
            <w:vAlign w:val="top"/>
          </w:tcPr>
          <w:p>
            <w:pPr>
              <w:spacing w:line="4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中华人民共和国合同法、中华人民共和国劳动法、中华人民共和国安全消防法、中华人民共和国产品质量法、中华人民共和国安全生产法</w:t>
            </w:r>
            <w:r>
              <w:rPr>
                <w:rFonts w:hint="eastAsia" w:asciiTheme="minorEastAsia" w:hAnsiTheme="minorEastAsia" w:eastAsiaTheme="minorEastAsia" w:cstheme="minorEastAsia"/>
                <w:color w:val="auto"/>
                <w:sz w:val="21"/>
                <w:szCs w:val="21"/>
                <w:lang w:eastAsia="zh-CN"/>
              </w:rPr>
              <w:t>、山东省</w:t>
            </w:r>
            <w:r>
              <w:rPr>
                <w:rFonts w:hint="eastAsia" w:asciiTheme="minorEastAsia" w:hAnsiTheme="minorEastAsia" w:eastAsiaTheme="minorEastAsia" w:cstheme="minorEastAsia"/>
                <w:color w:val="auto"/>
                <w:sz w:val="21"/>
                <w:szCs w:val="21"/>
              </w:rPr>
              <w:t>环境保护条例、</w:t>
            </w:r>
            <w:r>
              <w:rPr>
                <w:rFonts w:hint="eastAsia" w:asciiTheme="minorEastAsia" w:hAnsiTheme="minorEastAsia" w:eastAsiaTheme="minorEastAsia" w:cstheme="minorEastAsia"/>
                <w:color w:val="auto"/>
                <w:sz w:val="21"/>
                <w:szCs w:val="21"/>
                <w:lang w:eastAsia="zh-CN"/>
              </w:rPr>
              <w:t>山东省</w:t>
            </w:r>
            <w:r>
              <w:rPr>
                <w:rFonts w:hint="eastAsia" w:asciiTheme="minorEastAsia" w:hAnsiTheme="minorEastAsia" w:eastAsiaTheme="minorEastAsia" w:cstheme="minorEastAsia"/>
                <w:color w:val="auto"/>
                <w:sz w:val="21"/>
                <w:szCs w:val="21"/>
              </w:rPr>
              <w:t>消防条例、</w:t>
            </w:r>
            <w:r>
              <w:rPr>
                <w:rFonts w:hint="eastAsia" w:asciiTheme="minorEastAsia" w:hAnsiTheme="minorEastAsia" w:eastAsiaTheme="minorEastAsia" w:cstheme="minorEastAsia"/>
                <w:color w:val="auto"/>
                <w:sz w:val="21"/>
                <w:szCs w:val="21"/>
                <w:lang w:eastAsia="zh-CN"/>
              </w:rPr>
              <w:t>山东省</w:t>
            </w:r>
            <w:r>
              <w:rPr>
                <w:rFonts w:hint="eastAsia" w:asciiTheme="minorEastAsia" w:hAnsiTheme="minorEastAsia" w:eastAsiaTheme="minorEastAsia" w:cstheme="minorEastAsia"/>
                <w:color w:val="auto"/>
                <w:sz w:val="21"/>
                <w:szCs w:val="21"/>
              </w:rPr>
              <w:t>安全生产条例、</w:t>
            </w:r>
            <w:r>
              <w:rPr>
                <w:rFonts w:hint="eastAsia" w:asciiTheme="minorEastAsia" w:hAnsiTheme="minorEastAsia" w:eastAsiaTheme="minorEastAsia" w:cstheme="minorEastAsia"/>
                <w:color w:val="auto"/>
                <w:sz w:val="21"/>
                <w:szCs w:val="21"/>
                <w:lang w:eastAsia="zh-CN"/>
              </w:rPr>
              <w:t>山东省</w:t>
            </w:r>
            <w:r>
              <w:rPr>
                <w:rFonts w:hint="eastAsia" w:asciiTheme="minorEastAsia" w:hAnsiTheme="minorEastAsia" w:eastAsiaTheme="minorEastAsia" w:cstheme="minorEastAsia"/>
                <w:color w:val="auto"/>
                <w:sz w:val="21"/>
                <w:szCs w:val="21"/>
              </w:rPr>
              <w:t>重大危险源监督管理规定、</w:t>
            </w:r>
            <w:r>
              <w:rPr>
                <w:rFonts w:hint="eastAsia" w:asciiTheme="minorEastAsia" w:hAnsiTheme="minorEastAsia" w:eastAsiaTheme="minorEastAsia" w:cstheme="minorEastAsia"/>
                <w:color w:val="auto"/>
                <w:sz w:val="21"/>
                <w:szCs w:val="21"/>
                <w:lang w:eastAsia="zh-CN"/>
              </w:rPr>
              <w:t>山东省</w:t>
            </w:r>
            <w:r>
              <w:rPr>
                <w:rFonts w:hint="eastAsia" w:asciiTheme="minorEastAsia" w:hAnsiTheme="minorEastAsia" w:eastAsiaTheme="minorEastAsia" w:cstheme="minorEastAsia"/>
                <w:color w:val="auto"/>
                <w:sz w:val="21"/>
                <w:szCs w:val="21"/>
              </w:rPr>
              <w:t>工伤保险实施办法等</w:t>
            </w:r>
          </w:p>
          <w:p>
            <w:pPr>
              <w:spacing w:line="400" w:lineRule="exact"/>
              <w:rPr>
                <w:rFonts w:hint="eastAsia" w:asciiTheme="minorEastAsia" w:hAnsiTheme="minorEastAsia" w:eastAsiaTheme="minorEastAsia" w:cstheme="minorEastAsia"/>
                <w:color w:val="auto"/>
                <w:sz w:val="21"/>
                <w:szCs w:val="21"/>
              </w:rPr>
            </w:pPr>
          </w:p>
          <w:p>
            <w:pPr>
              <w:spacing w:line="4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val="en-US" w:eastAsia="zh-CN"/>
              </w:rPr>
              <w:t>提供环评批复</w:t>
            </w:r>
            <w:r>
              <w:rPr>
                <w:rFonts w:hint="eastAsia" w:asciiTheme="minorEastAsia" w:hAnsiTheme="minorEastAsia" w:eastAsiaTheme="minorEastAsia" w:cstheme="minorEastAsia"/>
                <w:sz w:val="21"/>
                <w:szCs w:val="21"/>
              </w:rPr>
              <w:drawing>
                <wp:inline distT="0" distB="0" distL="114300" distR="114300">
                  <wp:extent cx="991870" cy="622935"/>
                  <wp:effectExtent l="0" t="0" r="17780" b="571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stretch>
                            <a:fillRect/>
                          </a:stretch>
                        </pic:blipFill>
                        <pic:spPr>
                          <a:xfrm>
                            <a:off x="0" y="0"/>
                            <a:ext cx="991870" cy="622935"/>
                          </a:xfrm>
                          <a:prstGeom prst="rect">
                            <a:avLst/>
                          </a:prstGeom>
                          <a:noFill/>
                          <a:ln>
                            <a:noFill/>
                          </a:ln>
                        </pic:spPr>
                      </pic:pic>
                    </a:graphicData>
                  </a:graphic>
                </wp:inline>
              </w:drawing>
            </w:r>
            <w:r>
              <w:rPr>
                <w:rFonts w:hint="eastAsia" w:asciiTheme="minorEastAsia" w:hAnsiTheme="minorEastAsia" w:eastAsiaTheme="minorEastAsia" w:cstheme="minorEastAsia"/>
                <w:sz w:val="21"/>
                <w:szCs w:val="21"/>
                <w:lang w:val="en-US" w:eastAsia="zh-CN"/>
              </w:rPr>
              <w:t>、环评验收（环境影响报告书）</w:t>
            </w:r>
            <w:r>
              <w:rPr>
                <w:rFonts w:hint="eastAsia" w:asciiTheme="minorEastAsia" w:hAnsiTheme="minorEastAsia" w:eastAsiaTheme="minorEastAsia" w:cstheme="minorEastAsia"/>
                <w:sz w:val="21"/>
                <w:szCs w:val="21"/>
              </w:rPr>
              <w:drawing>
                <wp:inline distT="0" distB="0" distL="114300" distR="114300">
                  <wp:extent cx="1228725" cy="232410"/>
                  <wp:effectExtent l="0" t="0" r="9525" b="1524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a:stretch>
                            <a:fillRect/>
                          </a:stretch>
                        </pic:blipFill>
                        <pic:spPr>
                          <a:xfrm>
                            <a:off x="0" y="0"/>
                            <a:ext cx="1228725" cy="232410"/>
                          </a:xfrm>
                          <a:prstGeom prst="rect">
                            <a:avLst/>
                          </a:prstGeom>
                          <a:noFill/>
                          <a:ln>
                            <a:noFill/>
                          </a:ln>
                        </pic:spPr>
                      </pic:pic>
                    </a:graphicData>
                  </a:graphic>
                </wp:inline>
              </w:drawing>
            </w:r>
            <w:r>
              <w:rPr>
                <w:rFonts w:hint="eastAsia" w:asciiTheme="minorEastAsia" w:hAnsiTheme="minorEastAsia" w:eastAsiaTheme="minorEastAsia" w:cstheme="minorEastAsia"/>
                <w:sz w:val="21"/>
                <w:szCs w:val="21"/>
                <w:lang w:val="en-US" w:eastAsia="zh-CN"/>
              </w:rPr>
              <w:t>、2020年4月20日进行的环境检测报告，</w:t>
            </w:r>
            <w:r>
              <w:rPr>
                <w:rFonts w:hint="eastAsia" w:asciiTheme="minorEastAsia" w:hAnsiTheme="minorEastAsia" w:eastAsiaTheme="minorEastAsia" w:cstheme="minorEastAsia"/>
                <w:sz w:val="21"/>
                <w:szCs w:val="21"/>
              </w:rPr>
              <w:drawing>
                <wp:inline distT="0" distB="0" distL="114300" distR="114300">
                  <wp:extent cx="742315" cy="779780"/>
                  <wp:effectExtent l="0" t="0" r="635" b="127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2"/>
                          <a:stretch>
                            <a:fillRect/>
                          </a:stretch>
                        </pic:blipFill>
                        <pic:spPr>
                          <a:xfrm>
                            <a:off x="0" y="0"/>
                            <a:ext cx="742315" cy="779780"/>
                          </a:xfrm>
                          <a:prstGeom prst="rect">
                            <a:avLst/>
                          </a:prstGeom>
                          <a:noFill/>
                          <a:ln>
                            <a:noFill/>
                          </a:ln>
                        </pic:spPr>
                      </pic:pic>
                    </a:graphicData>
                  </a:graphic>
                </wp:inline>
              </w:drawing>
            </w:r>
            <w:r>
              <w:rPr>
                <w:rFonts w:hint="eastAsia" w:asciiTheme="minorEastAsia" w:hAnsiTheme="minorEastAsia" w:eastAsiaTheme="minorEastAsia" w:cstheme="minorEastAsia"/>
                <w:sz w:val="21"/>
                <w:szCs w:val="21"/>
                <w:lang w:val="en-US" w:eastAsia="zh-CN"/>
              </w:rPr>
              <w:t>见附件。</w:t>
            </w:r>
          </w:p>
          <w:p>
            <w:pPr>
              <w:pStyle w:val="2"/>
              <w:rPr>
                <w:rFonts w:hint="eastAsia"/>
              </w:rPr>
            </w:pPr>
          </w:p>
          <w:p>
            <w:pPr>
              <w:pStyle w:val="2"/>
              <w:rPr>
                <w:rFonts w:hint="eastAsia"/>
              </w:rPr>
            </w:pPr>
          </w:p>
          <w:p>
            <w:pPr>
              <w:spacing w:line="400" w:lineRule="exac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员工体检等，见附件</w:t>
            </w:r>
          </w:p>
          <w:p>
            <w:pPr>
              <w:pStyle w:val="2"/>
              <w:rPr>
                <w:rFonts w:hint="eastAsia"/>
                <w:lang w:eastAsia="zh-CN"/>
              </w:rPr>
            </w:pPr>
          </w:p>
          <w:p>
            <w:pPr>
              <w:pStyle w:val="2"/>
              <w:rPr>
                <w:rFonts w:hint="eastAsia"/>
                <w:lang w:eastAsia="zh-CN"/>
              </w:rPr>
            </w:pPr>
          </w:p>
          <w:p>
            <w:pPr>
              <w:pStyle w:val="2"/>
              <w:rPr>
                <w:rFonts w:hint="eastAsia"/>
                <w:lang w:eastAsia="zh-CN"/>
              </w:rPr>
            </w:pPr>
            <w:r>
              <w:rPr>
                <w:rFonts w:hint="eastAsia"/>
                <w:lang w:eastAsia="zh-CN"/>
              </w:rPr>
              <w:t>无</w:t>
            </w:r>
          </w:p>
          <w:p>
            <w:pPr>
              <w:pStyle w:val="2"/>
              <w:rPr>
                <w:rFonts w:hint="eastAsia"/>
              </w:rPr>
            </w:pPr>
          </w:p>
          <w:p>
            <w:pPr>
              <w:pStyle w:val="2"/>
              <w:rPr>
                <w:rFonts w:hint="eastAsia"/>
              </w:rPr>
            </w:pPr>
          </w:p>
          <w:p>
            <w:pPr>
              <w:spacing w:line="4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进行了合规性评价</w:t>
            </w:r>
          </w:p>
        </w:tc>
        <w:tc>
          <w:tcPr>
            <w:tcW w:w="628" w:type="dxa"/>
            <w:vAlign w:val="top"/>
          </w:tcPr>
          <w:p>
            <w:pPr>
              <w:spacing w:line="4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符合</w:t>
            </w:r>
          </w:p>
          <w:p>
            <w:pPr>
              <w:spacing w:line="440" w:lineRule="exact"/>
              <w:jc w:val="center"/>
              <w:rPr>
                <w:rFonts w:hint="eastAsia"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400" w:lineRule="exact"/>
              <w:rPr>
                <w:rFonts w:ascii="宋体" w:hAnsi="宋体"/>
                <w:color w:val="auto"/>
                <w:szCs w:val="21"/>
                <w:highlight w:val="none"/>
              </w:rPr>
            </w:pPr>
            <w:r>
              <w:rPr>
                <w:rFonts w:hint="eastAsia" w:ascii="宋体" w:hAnsi="宋体"/>
                <w:color w:val="auto"/>
                <w:szCs w:val="21"/>
                <w:highlight w:val="none"/>
              </w:rPr>
              <w:t>工艺流程</w:t>
            </w:r>
          </w:p>
          <w:p>
            <w:pPr>
              <w:spacing w:line="400" w:lineRule="exact"/>
              <w:rPr>
                <w:rFonts w:ascii="宋体" w:hAnsi="宋体"/>
                <w:color w:val="auto"/>
                <w:szCs w:val="21"/>
                <w:highlight w:val="none"/>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400" w:lineRule="exact"/>
              <w:rPr>
                <w:rFonts w:hint="eastAsia" w:ascii="宋体" w:hAnsi="宋体"/>
                <w:color w:val="auto"/>
                <w:szCs w:val="21"/>
                <w:highlight w:val="none"/>
              </w:rPr>
            </w:pPr>
            <w:r>
              <w:rPr>
                <w:rFonts w:hint="eastAsia" w:ascii="宋体" w:hAnsi="宋体"/>
                <w:color w:val="auto"/>
                <w:szCs w:val="21"/>
                <w:highlight w:val="none"/>
              </w:rPr>
              <w:t>外包的识别</w:t>
            </w:r>
          </w:p>
          <w:p>
            <w:pPr>
              <w:pStyle w:val="2"/>
              <w:rPr>
                <w:rFonts w:hint="eastAsia" w:ascii="宋体" w:hAnsi="宋体"/>
                <w:color w:val="auto"/>
                <w:szCs w:val="21"/>
                <w:highlight w:val="none"/>
              </w:rPr>
            </w:pPr>
          </w:p>
          <w:p>
            <w:pPr>
              <w:pStyle w:val="2"/>
              <w:rPr>
                <w:rFonts w:hint="eastAsia" w:ascii="宋体" w:hAnsi="宋体"/>
                <w:color w:val="auto"/>
                <w:szCs w:val="21"/>
                <w:highlight w:val="none"/>
              </w:rPr>
            </w:pPr>
          </w:p>
          <w:p>
            <w:pPr>
              <w:pStyle w:val="2"/>
              <w:rPr>
                <w:rFonts w:hint="eastAsia" w:ascii="宋体" w:hAnsi="宋体"/>
                <w:color w:val="auto"/>
                <w:szCs w:val="21"/>
                <w:highlight w:val="none"/>
              </w:rPr>
            </w:pPr>
          </w:p>
          <w:p>
            <w:pPr>
              <w:pStyle w:val="2"/>
              <w:rPr>
                <w:rFonts w:hint="eastAsia" w:ascii="宋体" w:hAnsi="宋体"/>
                <w:color w:val="auto"/>
                <w:szCs w:val="21"/>
                <w:highlight w:val="none"/>
              </w:rPr>
            </w:pPr>
          </w:p>
          <w:p>
            <w:pPr>
              <w:pStyle w:val="2"/>
              <w:rPr>
                <w:rFonts w:hint="eastAsia" w:ascii="宋体" w:hAnsi="宋体"/>
                <w:color w:val="auto"/>
                <w:szCs w:val="21"/>
                <w:highlight w:val="none"/>
              </w:rPr>
            </w:pPr>
          </w:p>
          <w:p>
            <w:pPr>
              <w:pStyle w:val="2"/>
            </w:pPr>
          </w:p>
          <w:p>
            <w:pPr>
              <w:spacing w:line="400" w:lineRule="exact"/>
              <w:rPr>
                <w:rFonts w:hint="eastAsia" w:ascii="宋体" w:hAnsi="宋体"/>
                <w:color w:val="auto"/>
                <w:szCs w:val="21"/>
                <w:highlight w:val="none"/>
              </w:rPr>
            </w:pPr>
            <w:r>
              <w:rPr>
                <w:rFonts w:hint="eastAsia" w:ascii="宋体" w:hAnsi="宋体"/>
                <w:color w:val="auto"/>
                <w:szCs w:val="21"/>
                <w:highlight w:val="none"/>
              </w:rPr>
              <w:t>重要环境因素</w:t>
            </w:r>
          </w:p>
          <w:p>
            <w:pPr>
              <w:spacing w:line="400" w:lineRule="exact"/>
              <w:rPr>
                <w:rFonts w:hint="eastAsia"/>
                <w:color w:val="auto"/>
                <w:szCs w:val="21"/>
                <w:highlight w:val="none"/>
                <w:lang w:eastAsia="zh-CN"/>
              </w:rPr>
            </w:pPr>
            <w:r>
              <w:rPr>
                <w:rFonts w:hint="eastAsia"/>
                <w:color w:val="auto"/>
                <w:szCs w:val="21"/>
                <w:highlight w:val="none"/>
              </w:rPr>
              <w:t>不可接受风险</w:t>
            </w:r>
          </w:p>
          <w:p>
            <w:pPr>
              <w:spacing w:line="400" w:lineRule="exact"/>
              <w:rPr>
                <w:rFonts w:hint="eastAsia" w:asciiTheme="minorEastAsia" w:hAnsiTheme="minorEastAsia" w:eastAsiaTheme="minorEastAsia" w:cstheme="minorEastAsia"/>
                <w:color w:val="auto"/>
                <w:sz w:val="21"/>
                <w:szCs w:val="21"/>
              </w:rPr>
            </w:pPr>
            <w:r>
              <w:rPr>
                <w:rFonts w:hint="eastAsia"/>
                <w:color w:val="auto"/>
                <w:szCs w:val="21"/>
                <w:highlight w:val="none"/>
                <w:lang w:eastAsia="zh-CN"/>
              </w:rPr>
              <w:t>应急管理</w:t>
            </w:r>
          </w:p>
        </w:tc>
        <w:tc>
          <w:tcPr>
            <w:tcW w:w="960" w:type="dxa"/>
            <w:vAlign w:val="top"/>
          </w:tcPr>
          <w:p>
            <w:pPr>
              <w:adjustRightInd w:val="0"/>
              <w:snapToGrid w:val="0"/>
              <w:rPr>
                <w:rFonts w:hint="eastAsia" w:asciiTheme="minorEastAsia" w:hAnsiTheme="minorEastAsia" w:eastAsiaTheme="minorEastAsia" w:cstheme="minorEastAsia"/>
                <w:color w:val="auto"/>
                <w:sz w:val="21"/>
                <w:szCs w:val="21"/>
              </w:rPr>
            </w:pPr>
          </w:p>
        </w:tc>
        <w:tc>
          <w:tcPr>
            <w:tcW w:w="10961" w:type="dxa"/>
            <w:vAlign w:val="top"/>
          </w:tcPr>
          <w:p>
            <w:pPr>
              <w:widowControl/>
              <w:numPr>
                <w:numId w:val="0"/>
              </w:numPr>
              <w:tabs>
                <w:tab w:val="center" w:pos="5284"/>
              </w:tabs>
              <w:spacing w:line="360" w:lineRule="auto"/>
              <w:ind w:leftChars="0" w:right="505" w:rightChars="0"/>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eastAsia="zh-CN"/>
              </w:rPr>
              <w:t>常规</w:t>
            </w:r>
            <w:r>
              <w:rPr>
                <w:rFonts w:hint="eastAsia" w:asciiTheme="minorEastAsia" w:hAnsiTheme="minorEastAsia" w:eastAsiaTheme="minorEastAsia" w:cstheme="minorEastAsia"/>
                <w:b/>
                <w:bCs/>
                <w:color w:val="auto"/>
                <w:sz w:val="21"/>
                <w:szCs w:val="21"/>
              </w:rPr>
              <w:t>生产工艺流程：</w:t>
            </w:r>
          </w:p>
          <w:p>
            <w:pPr>
              <w:pStyle w:val="2"/>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机加：来料→检验→机加工→检验→入库→发货</w:t>
            </w:r>
          </w:p>
          <w:p>
            <w:pPr>
              <w:pStyle w:val="2"/>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 xml:space="preserve">铆焊：原料→下料→焊接/机加工→组装调试→检验→入库   </w:t>
            </w:r>
          </w:p>
          <w:p>
            <w:pPr>
              <w:pStyle w:val="2"/>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其他：按客户合同、图纸、技术要求加工；</w:t>
            </w:r>
          </w:p>
          <w:p>
            <w:pPr>
              <w:pStyle w:val="2"/>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关键</w:t>
            </w:r>
            <w:r>
              <w:rPr>
                <w:rFonts w:hint="eastAsia" w:asciiTheme="minorEastAsia" w:hAnsiTheme="minorEastAsia" w:eastAsiaTheme="minorEastAsia" w:cstheme="minorEastAsia"/>
                <w:b w:val="0"/>
                <w:bCs/>
                <w:color w:val="auto"/>
                <w:sz w:val="21"/>
                <w:szCs w:val="21"/>
                <w:lang w:val="en-US" w:eastAsia="zh-CN"/>
              </w:rPr>
              <w:t xml:space="preserve">过程：客户指定关键工序   </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相关文件：</w:t>
            </w:r>
            <w:r>
              <w:rPr>
                <w:rFonts w:hint="eastAsia" w:asciiTheme="minorEastAsia" w:hAnsiTheme="minorEastAsia" w:eastAsiaTheme="minorEastAsia" w:cstheme="minorEastAsia"/>
                <w:b w:val="0"/>
                <w:bCs/>
                <w:color w:val="auto"/>
                <w:sz w:val="21"/>
                <w:szCs w:val="21"/>
                <w:lang w:eastAsia="zh-CN"/>
              </w:rPr>
              <w:t>客户合同、图纸、技术要求等；</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 xml:space="preserve">需确认过程：焊接  </w:t>
            </w:r>
          </w:p>
          <w:p>
            <w:pPr>
              <w:pStyle w:val="2"/>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lang w:val="en-US" w:eastAsia="zh-CN"/>
              </w:rPr>
              <w:t>相关文件：“焊接工艺（作业指导书）”等，</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外包过程：暂无，（根据客户要求实施时，执行“质量手册”外包规定）</w:t>
            </w:r>
          </w:p>
          <w:p>
            <w:pPr>
              <w:pStyle w:val="2"/>
              <w:rPr>
                <w:rFonts w:hint="eastAsia" w:asciiTheme="minorEastAsia" w:hAnsiTheme="minorEastAsia" w:eastAsiaTheme="minorEastAsia" w:cstheme="minorEastAsia"/>
                <w:sz w:val="21"/>
                <w:szCs w:val="21"/>
                <w:lang w:eastAsia="zh-CN"/>
              </w:rPr>
            </w:pPr>
            <w:r>
              <w:rPr>
                <w:rFonts w:hint="eastAsia" w:ascii="宋体" w:hAnsi="宋体"/>
                <w:b/>
                <w:color w:val="000000" w:themeColor="text1"/>
                <w:sz w:val="20"/>
                <w:szCs w:val="20"/>
              </w:rPr>
              <w:t>不适用条款是</w:t>
            </w:r>
            <w:r>
              <w:rPr>
                <w:rFonts w:hint="eastAsia" w:ascii="宋体" w:hAnsi="宋体"/>
                <w:b/>
                <w:color w:val="000000" w:themeColor="text1"/>
                <w:sz w:val="20"/>
                <w:szCs w:val="20"/>
                <w:lang w:val="en-US" w:eastAsia="zh-CN"/>
              </w:rPr>
              <w:t>Q8.3</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不适用理由：</w:t>
            </w:r>
          </w:p>
          <w:p>
            <w:pPr>
              <w:pStyle w:val="2"/>
              <w:ind w:firstLine="46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eastAsia="zh-CN"/>
              </w:rPr>
              <w:t>该</w:t>
            </w:r>
            <w:r>
              <w:rPr>
                <w:rFonts w:hint="eastAsia" w:asciiTheme="minorEastAsia" w:hAnsiTheme="minorEastAsia" w:eastAsiaTheme="minorEastAsia" w:cstheme="minorEastAsia"/>
                <w:sz w:val="21"/>
                <w:szCs w:val="21"/>
              </w:rPr>
              <w:t>公司产品依据顾客要求按客户提供的样品等明确的产品设计要求进行加工，客户提供明确的技术参数及原料采购要求，生产和检验的要求均由客户方提供。企业不承担设计开发责任，不进行新产品设计和开发，设计开发责任由客户方承担</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不适用8.3条款不影响本公司提供满足客户要求和适用法律法规要求的产品能力或责任的要求</w:t>
            </w:r>
            <w:r>
              <w:rPr>
                <w:rFonts w:hint="eastAsia" w:asciiTheme="minorEastAsia" w:hAnsiTheme="minorEastAsia" w:eastAsiaTheme="minorEastAsia" w:cstheme="minorEastAsia"/>
                <w:sz w:val="21"/>
                <w:szCs w:val="21"/>
                <w:lang w:eastAsia="zh-CN"/>
              </w:rPr>
              <w:t>。</w:t>
            </w:r>
          </w:p>
          <w:p>
            <w:pPr>
              <w:pStyle w:val="2"/>
              <w:rPr>
                <w:rFonts w:hint="default"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重要环境因素有：</w:t>
            </w:r>
            <w:r>
              <w:rPr>
                <w:rFonts w:hint="eastAsia" w:asciiTheme="minorEastAsia" w:hAnsiTheme="minorEastAsia" w:eastAsiaTheme="minorEastAsia" w:cstheme="minorEastAsia"/>
                <w:sz w:val="21"/>
                <w:szCs w:val="21"/>
                <w:lang w:eastAsia="zh-CN"/>
              </w:rPr>
              <w:t>噪声、废气、固废、废水。</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不可接受风险有：触电、火灾、职业病、机械伤害、高处坠落、触电、物体打击砸伤等</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eastAsia="zh-CN"/>
              </w:rPr>
              <w:t>公司有火灾、触电等应急预案，进行了</w:t>
            </w:r>
            <w:r>
              <w:rPr>
                <w:rFonts w:hint="eastAsia" w:asciiTheme="minorEastAsia" w:hAnsiTheme="minorEastAsia" w:eastAsiaTheme="minorEastAsia" w:cstheme="minorEastAsia"/>
                <w:sz w:val="21"/>
                <w:szCs w:val="21"/>
              </w:rPr>
              <w:t>应急演练。</w:t>
            </w:r>
          </w:p>
        </w:tc>
        <w:tc>
          <w:tcPr>
            <w:tcW w:w="628" w:type="dxa"/>
            <w:vAlign w:val="top"/>
          </w:tcPr>
          <w:p>
            <w:pPr>
              <w:spacing w:line="4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符合</w:t>
            </w:r>
          </w:p>
          <w:p>
            <w:pPr>
              <w:spacing w:line="440" w:lineRule="exact"/>
              <w:jc w:val="center"/>
              <w:rPr>
                <w:rFonts w:hint="eastAsia"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2160" w:type="dxa"/>
            <w:vAlign w:val="top"/>
          </w:tcPr>
          <w:p>
            <w:pPr>
              <w:spacing w:line="400" w:lineRule="exact"/>
              <w:rPr>
                <w:rFonts w:hint="eastAsia" w:ascii="宋体" w:hAnsi="宋体"/>
                <w:color w:val="auto"/>
                <w:szCs w:val="21"/>
                <w:highlight w:val="none"/>
              </w:rPr>
            </w:pPr>
            <w:r>
              <w:rPr>
                <w:rFonts w:hint="eastAsia" w:ascii="宋体" w:hAnsi="宋体"/>
                <w:color w:val="auto"/>
                <w:szCs w:val="21"/>
                <w:highlight w:val="none"/>
              </w:rPr>
              <w:t>主要生产设备</w:t>
            </w:r>
          </w:p>
          <w:p>
            <w:pPr>
              <w:spacing w:line="400" w:lineRule="exact"/>
              <w:rPr>
                <w:rFonts w:hint="eastAsia" w:ascii="宋体" w:hAnsi="宋体"/>
                <w:color w:val="auto"/>
                <w:szCs w:val="21"/>
                <w:highlight w:val="none"/>
              </w:rPr>
            </w:pPr>
            <w:r>
              <w:rPr>
                <w:rFonts w:hint="eastAsia" w:ascii="宋体" w:hAnsi="宋体"/>
                <w:color w:val="auto"/>
                <w:szCs w:val="21"/>
                <w:highlight w:val="none"/>
                <w:lang w:val="en-US" w:eastAsia="zh-CN"/>
              </w:rPr>
              <w:t>库房</w:t>
            </w:r>
          </w:p>
          <w:p>
            <w:pPr>
              <w:spacing w:line="400" w:lineRule="exact"/>
            </w:pPr>
            <w:r>
              <w:rPr>
                <w:rFonts w:hint="eastAsia" w:ascii="宋体" w:hAnsi="宋体"/>
                <w:color w:val="auto"/>
                <w:szCs w:val="21"/>
                <w:highlight w:val="none"/>
              </w:rPr>
              <w:t>特种设备</w:t>
            </w:r>
          </w:p>
          <w:p>
            <w:pPr>
              <w:spacing w:line="400" w:lineRule="exact"/>
              <w:rPr>
                <w:color w:val="auto"/>
                <w:szCs w:val="21"/>
                <w:highlight w:val="none"/>
              </w:rPr>
            </w:pPr>
            <w:r>
              <w:rPr>
                <w:rFonts w:hint="eastAsia"/>
                <w:color w:val="auto"/>
                <w:szCs w:val="21"/>
                <w:highlight w:val="none"/>
              </w:rPr>
              <w:t>环保设施</w:t>
            </w:r>
          </w:p>
          <w:p>
            <w:pPr>
              <w:spacing w:line="400" w:lineRule="exact"/>
              <w:rPr>
                <w:rFonts w:hint="eastAsia" w:eastAsia="宋体" w:asciiTheme="minorEastAsia" w:hAnsiTheme="minorEastAsia" w:cstheme="minorEastAsia"/>
                <w:color w:val="auto"/>
                <w:sz w:val="21"/>
                <w:szCs w:val="21"/>
                <w:lang w:eastAsia="zh-CN"/>
              </w:rPr>
            </w:pPr>
            <w:r>
              <w:rPr>
                <w:rFonts w:hint="eastAsia"/>
                <w:color w:val="auto"/>
                <w:szCs w:val="21"/>
                <w:highlight w:val="none"/>
              </w:rPr>
              <w:t>安全设施</w:t>
            </w:r>
            <w:r>
              <w:rPr>
                <w:rFonts w:hint="eastAsia"/>
                <w:color w:val="auto"/>
                <w:szCs w:val="21"/>
                <w:highlight w:val="none"/>
                <w:lang w:eastAsia="zh-CN"/>
              </w:rPr>
              <w:t>等</w:t>
            </w:r>
          </w:p>
        </w:tc>
        <w:tc>
          <w:tcPr>
            <w:tcW w:w="960" w:type="dxa"/>
            <w:vAlign w:val="top"/>
          </w:tcPr>
          <w:p>
            <w:pPr>
              <w:spacing w:line="440" w:lineRule="exact"/>
              <w:jc w:val="left"/>
              <w:rPr>
                <w:rFonts w:hint="eastAsia" w:ascii="宋体" w:hAnsi="宋体"/>
                <w:color w:val="auto"/>
                <w:szCs w:val="21"/>
                <w:lang w:val="en-US" w:eastAsia="zh-CN"/>
              </w:rPr>
            </w:pPr>
            <w:r>
              <w:rPr>
                <w:rFonts w:hint="eastAsia" w:ascii="宋体" w:hAnsi="宋体"/>
                <w:color w:val="auto"/>
                <w:szCs w:val="21"/>
                <w:lang w:val="en-US" w:eastAsia="zh-CN"/>
              </w:rPr>
              <w:t>Q/E/O</w:t>
            </w:r>
          </w:p>
          <w:p>
            <w:pPr>
              <w:spacing w:line="440" w:lineRule="exact"/>
              <w:jc w:val="left"/>
              <w:rPr>
                <w:rFonts w:hint="default" w:ascii="宋体" w:hAnsi="宋体" w:eastAsia="宋体"/>
                <w:color w:val="auto"/>
                <w:szCs w:val="21"/>
                <w:lang w:val="en-US" w:eastAsia="zh-CN"/>
              </w:rPr>
            </w:pPr>
            <w:r>
              <w:rPr>
                <w:rFonts w:hint="eastAsia" w:ascii="宋体" w:hAnsi="宋体"/>
                <w:color w:val="auto"/>
                <w:szCs w:val="21"/>
                <w:lang w:val="en-US" w:eastAsia="zh-CN"/>
              </w:rPr>
              <w:t>7.1</w:t>
            </w:r>
          </w:p>
          <w:p>
            <w:pPr>
              <w:spacing w:line="440" w:lineRule="exact"/>
              <w:jc w:val="center"/>
              <w:rPr>
                <w:rFonts w:ascii="宋体" w:hAnsi="宋体"/>
                <w:color w:val="auto"/>
                <w:szCs w:val="21"/>
                <w:highlight w:val="none"/>
              </w:rPr>
            </w:pPr>
          </w:p>
          <w:p>
            <w:pPr>
              <w:spacing w:line="440" w:lineRule="exact"/>
              <w:jc w:val="both"/>
              <w:rPr>
                <w:rFonts w:hint="eastAsia" w:asciiTheme="minorEastAsia" w:hAnsiTheme="minorEastAsia" w:eastAsiaTheme="minorEastAsia" w:cstheme="minorEastAsia"/>
                <w:color w:val="auto"/>
                <w:sz w:val="21"/>
                <w:szCs w:val="21"/>
              </w:rPr>
            </w:pPr>
          </w:p>
        </w:tc>
        <w:tc>
          <w:tcPr>
            <w:tcW w:w="10961" w:type="dxa"/>
            <w:vAlign w:val="top"/>
          </w:tcPr>
          <w:p>
            <w:pPr>
              <w:spacing w:line="400" w:lineRule="exact"/>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1、主要设备:镗铣床、五面加工中心、镗铣加工中心、重型数控镗床、数控落地镗铣床、钻床、空气压缩机、液压机、数控火焰切割机、带锯床、气保焊机、弧焊机、直流理弧焊机、行车等；</w:t>
            </w:r>
          </w:p>
          <w:p>
            <w:pPr>
              <w:keepNext w:val="0"/>
              <w:keepLines w:val="0"/>
              <w:widowControl w:val="0"/>
              <w:numPr>
                <w:ilvl w:val="0"/>
                <w:numId w:val="0"/>
              </w:numPr>
              <w:suppressLineNumbers w:val="0"/>
              <w:spacing w:before="0" w:beforeAutospacing="0" w:after="0" w:afterAutospacing="0"/>
              <w:ind w:left="0" w:right="0"/>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2、特种设备：行车5台，提交了监督检验证书，在有效期内，见附件。</w:t>
            </w:r>
          </w:p>
          <w:p>
            <w:pPr>
              <w:pStyle w:val="2"/>
              <w:numPr>
                <w:ilvl w:val="0"/>
                <w:numId w:val="1"/>
              </w:num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环保设备：有除尘器、焊烟集气装置、切割烟尘集气装置；</w:t>
            </w:r>
          </w:p>
          <w:p>
            <w:pPr>
              <w:pStyle w:val="2"/>
              <w:numPr>
                <w:ilvl w:val="0"/>
                <w:numId w:val="1"/>
              </w:num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消防设备：干粉灭火器</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12个；干粉灭火器</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40个；二氧化碳灭火器</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6个；</w:t>
            </w:r>
          </w:p>
          <w:p>
            <w:pPr>
              <w:pStyle w:val="2"/>
              <w:numPr>
                <w:ilvl w:val="0"/>
                <w:numId w:val="1"/>
              </w:num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应急用品：见应急药箱、应急口罩、应急手套等；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 工作环境：配有生产车间、办公区域等，厂房明亮，整洁</w:t>
            </w:r>
          </w:p>
        </w:tc>
        <w:tc>
          <w:tcPr>
            <w:tcW w:w="628" w:type="dxa"/>
            <w:vAlign w:val="top"/>
          </w:tcPr>
          <w:p>
            <w:pPr>
              <w:spacing w:line="4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符合</w:t>
            </w:r>
          </w:p>
          <w:p>
            <w:pPr>
              <w:spacing w:line="440" w:lineRule="exact"/>
              <w:jc w:val="center"/>
              <w:rPr>
                <w:rFonts w:ascii="宋体" w:hAnsi="宋体"/>
                <w:color w:val="auto"/>
                <w:szCs w:val="21"/>
                <w:highlight w:val="none"/>
              </w:rPr>
            </w:pPr>
          </w:p>
          <w:p>
            <w:pPr>
              <w:spacing w:line="440" w:lineRule="exact"/>
              <w:jc w:val="center"/>
              <w:rPr>
                <w:rFonts w:ascii="宋体" w:hAnsi="宋体"/>
                <w:color w:val="auto"/>
                <w:szCs w:val="21"/>
                <w:highlight w:val="none"/>
              </w:rPr>
            </w:pPr>
          </w:p>
          <w:p>
            <w:pPr>
              <w:spacing w:line="440" w:lineRule="exact"/>
              <w:jc w:val="both"/>
              <w:rPr>
                <w:rFonts w:ascii="宋体" w:hAnsi="宋体"/>
                <w:color w:val="auto"/>
                <w:szCs w:val="21"/>
                <w:highlight w:val="none"/>
              </w:rPr>
            </w:pPr>
          </w:p>
          <w:p>
            <w:pPr>
              <w:spacing w:line="440" w:lineRule="exact"/>
              <w:jc w:val="both"/>
              <w:rPr>
                <w:rFonts w:hint="eastAsia"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Align w:val="top"/>
          </w:tcPr>
          <w:p>
            <w:pPr>
              <w:spacing w:line="400" w:lineRule="exact"/>
              <w:rPr>
                <w:rFonts w:hint="eastAsia" w:asciiTheme="minorEastAsia" w:hAnsiTheme="minorEastAsia" w:eastAsiaTheme="minorEastAsia" w:cstheme="minorEastAsia"/>
                <w:color w:val="auto"/>
                <w:sz w:val="21"/>
                <w:szCs w:val="21"/>
              </w:rPr>
            </w:pPr>
            <w:r>
              <w:rPr>
                <w:rFonts w:hint="eastAsia" w:ascii="宋体" w:hAnsi="宋体"/>
                <w:color w:val="auto"/>
                <w:szCs w:val="21"/>
              </w:rPr>
              <w:t>顾客及相关方投诉</w:t>
            </w:r>
          </w:p>
        </w:tc>
        <w:tc>
          <w:tcPr>
            <w:tcW w:w="960" w:type="dxa"/>
            <w:vAlign w:val="top"/>
          </w:tcPr>
          <w:p>
            <w:pPr>
              <w:spacing w:line="440" w:lineRule="exact"/>
              <w:jc w:val="center"/>
              <w:rPr>
                <w:rFonts w:hint="eastAsia" w:asciiTheme="minorEastAsia" w:hAnsiTheme="minorEastAsia" w:eastAsiaTheme="minorEastAsia" w:cstheme="minorEastAsia"/>
                <w:color w:val="auto"/>
                <w:sz w:val="21"/>
                <w:szCs w:val="21"/>
              </w:rPr>
            </w:pPr>
          </w:p>
        </w:tc>
        <w:tc>
          <w:tcPr>
            <w:tcW w:w="10961" w:type="dxa"/>
            <w:vAlign w:val="top"/>
          </w:tcPr>
          <w:p>
            <w:pPr>
              <w:spacing w:line="400" w:lineRule="exac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未发现</w:t>
            </w:r>
          </w:p>
        </w:tc>
        <w:tc>
          <w:tcPr>
            <w:tcW w:w="628" w:type="dxa"/>
            <w:vAlign w:val="top"/>
          </w:tcPr>
          <w:p>
            <w:pPr>
              <w:spacing w:line="440" w:lineRule="exact"/>
              <w:jc w:val="center"/>
              <w:rPr>
                <w:rFonts w:hint="eastAsia" w:ascii="Times New Roman" w:hAnsi="Times New Roman" w:eastAsia="宋体" w:cs="Times New Roman"/>
                <w:color w:val="auto"/>
                <w:kern w:val="2"/>
                <w:sz w:val="21"/>
                <w:lang w:val="en-US" w:eastAsia="zh-CN" w:bidi="ar-SA"/>
              </w:rPr>
            </w:pPr>
          </w:p>
        </w:tc>
      </w:tr>
    </w:tbl>
    <w:p>
      <w:pPr>
        <w:rPr>
          <w:rFonts w:hint="eastAsia" w:asciiTheme="minorEastAsia" w:hAnsiTheme="minorEastAsia" w:eastAsiaTheme="minorEastAsia" w:cstheme="minorEastAsia"/>
        </w:rPr>
      </w:pPr>
      <w:bookmarkStart w:id="2" w:name="_GoBack"/>
      <w:bookmarkEnd w:id="2"/>
    </w:p>
    <w:p>
      <w:pPr>
        <w:pStyle w:val="4"/>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说明：不符合标注N</w:t>
      </w:r>
    </w:p>
    <w:p>
      <w:pPr>
        <w:pStyle w:val="4"/>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2049" o:spid="_x0000_s2049"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CE08E"/>
    <w:multiLevelType w:val="singleLevel"/>
    <w:tmpl w:val="571CE08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431336"/>
    <w:rsid w:val="025A50A2"/>
    <w:rsid w:val="070D1008"/>
    <w:rsid w:val="091E053B"/>
    <w:rsid w:val="0AC15087"/>
    <w:rsid w:val="0D2C36E3"/>
    <w:rsid w:val="1005598C"/>
    <w:rsid w:val="15D43732"/>
    <w:rsid w:val="185823F3"/>
    <w:rsid w:val="19CC5E12"/>
    <w:rsid w:val="1A941933"/>
    <w:rsid w:val="1C810DCA"/>
    <w:rsid w:val="21527397"/>
    <w:rsid w:val="218F42AA"/>
    <w:rsid w:val="239D6D5E"/>
    <w:rsid w:val="270E7359"/>
    <w:rsid w:val="2899097D"/>
    <w:rsid w:val="29961C89"/>
    <w:rsid w:val="2CC80310"/>
    <w:rsid w:val="30486B8C"/>
    <w:rsid w:val="33E57C98"/>
    <w:rsid w:val="3B474D72"/>
    <w:rsid w:val="40287E51"/>
    <w:rsid w:val="412A2514"/>
    <w:rsid w:val="42231BA7"/>
    <w:rsid w:val="430C4B68"/>
    <w:rsid w:val="4434725D"/>
    <w:rsid w:val="45D83B22"/>
    <w:rsid w:val="4A5B6A5A"/>
    <w:rsid w:val="55222226"/>
    <w:rsid w:val="55785579"/>
    <w:rsid w:val="598C2A6E"/>
    <w:rsid w:val="59CB431B"/>
    <w:rsid w:val="5AA9562A"/>
    <w:rsid w:val="67E75FDC"/>
    <w:rsid w:val="6AF44BDB"/>
    <w:rsid w:val="6CC555C2"/>
    <w:rsid w:val="6E01609A"/>
    <w:rsid w:val="6F8E5F83"/>
    <w:rsid w:val="7CAF4637"/>
    <w:rsid w:val="7F063A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2</TotalTime>
  <ScaleCrop>false</ScaleCrop>
  <LinksUpToDate>false</LinksUpToDate>
  <CharactersWithSpaces>100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2020-05-19T06:52:37Z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