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09"/>
        <w:gridCol w:w="50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四川银鑫建筑有限公司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20165-2024-ECEO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四川省成都市金牛区花照壁西顺街399号1栋2单元27层2703号、2704号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四川省成都市金牛区花照壁西顺街399号1栋2单元27层2703号、2704号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成都东部新区绛溪南片公园大道南侧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王茂兰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18782901256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18782901256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EC:76,E:76,O:76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2024-03-28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0:00上午至2024-03-28 17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6" w:name="_GoBack"/>
            <w:bookmarkEnd w:id="26"/>
            <w:r>
              <w:rPr>
                <w:sz w:val="21"/>
                <w:szCs w:val="21"/>
              </w:rPr>
              <w:t>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EC：资质范围内建筑装饰装修工程专业承包、建筑幕墙工程专业承包、钢结构工程专业承包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E：资质范围内建筑装饰装修工程专业承包、建筑幕墙工程专业承包、钢结构工程专业承包所涉及场所的相关环境管理活动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O：资质范围内建筑装饰装修工程专业承包、建筑幕墙工程专业承包、钢结构工程专业承包所涉及场所的相关职业健康安全管理活动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EC：28.08.05;28.09.02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E：28.08.05;28.09.02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O：28.08.05;28.09.02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6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76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EC:28.08.05,28.09.02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E:28.08.05,28.09.02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O:28.08.05,28.09.02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76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3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2024-03-22</w:t>
            </w:r>
            <w:bookmarkEnd w:id="25"/>
          </w:p>
        </w:tc>
        <w:tc>
          <w:tcPr>
            <w:tcW w:w="532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AE84389"/>
    <w:rsid w:val="24D83E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2024-03-25T02:16:41Z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