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0"/>
        <w:gridCol w:w="1151"/>
        <w:gridCol w:w="292"/>
        <w:gridCol w:w="6"/>
        <w:gridCol w:w="567"/>
        <w:gridCol w:w="1075"/>
        <w:gridCol w:w="242"/>
        <w:gridCol w:w="101"/>
        <w:gridCol w:w="21"/>
        <w:gridCol w:w="427"/>
        <w:gridCol w:w="402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十堰市利剑保安服务有限公司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十堰市茅箭区朝阳中路27号1幢2-19-6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何波</w:t>
            </w:r>
            <w:bookmarkEnd w:id="2"/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18807280728</w:t>
            </w:r>
            <w:bookmarkEnd w:id="3"/>
          </w:p>
        </w:tc>
        <w:tc>
          <w:tcPr>
            <w:tcW w:w="79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442000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何波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9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</w:rPr>
              <w:t>1363053077@qq.com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8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0169-2020-QEO</w:t>
            </w:r>
            <w:bookmarkEnd w:id="8"/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Q：门卫、巡逻、守护、秩序维护（限许可范围内）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E：门卫、巡逻、守护、秩序维护（限许可范围内）所涉及的相关环境管理活动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O：门卫、巡逻、守护、秩序维护（限许可范围内）所涉及的相关职业健康安全管理活动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Q：35.12.00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E：35.12.00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O：35.12.00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2020年05月09日 上午至2020年05月11日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304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O:审核员</w:t>
            </w:r>
          </w:p>
        </w:tc>
        <w:tc>
          <w:tcPr>
            <w:tcW w:w="2304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18633812642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曲丽娜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O:实习审核员</w:t>
            </w:r>
          </w:p>
        </w:tc>
        <w:tc>
          <w:tcPr>
            <w:tcW w:w="2304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13836186635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陈彦文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男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Q:专家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O:专家</w:t>
            </w:r>
          </w:p>
        </w:tc>
        <w:tc>
          <w:tcPr>
            <w:tcW w:w="2304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Q:35.12.00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E:35.12.00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O:35.12.00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18671665516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50595" cy="45783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：组织的岗位、职责权限；目标、方案；环境因素/危险源识别评价；组织知识；文件化信息；文件总则/管理手册、文件和记录控制；产品和服务要求；顾客或外部供方财产；交付后活动；变更的控制；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运行控制；合规义务；法律法规要求；绩效的监视和测量；合规性评价；内部审核；事件、不合格及纠正和预防措施控制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8.5.6/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6.1.2/7.5/8.1/8.2/9.1/9.2/10.2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2020.5.10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人力资源部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能力；意识；沟通；能力、培训和意识；信息交流、沟通参与和协商；运行控制；应急准备和响应；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7.1.2//7.2/7.3/7.4/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6.1.2/6.1.3/7.2/7.3/7.4/8.1/8.2/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装备后勤保障部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组织的岗位、职责权限；目标、方案；环境因素/危险源识别评价；外部提供的过程、产品和服务的控制；标识和可追溯性；产品防护；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变更的控制；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bookmarkStart w:id="17" w:name="_GoBack"/>
            <w:bookmarkEnd w:id="17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2020.5.11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管理稽查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7.1.5/8.1/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8.6/8.7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ISC-230170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ISC-JSZJ-108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45B4B"/>
    <w:rsid w:val="434F0A5B"/>
    <w:rsid w:val="73786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2020-05-13T02:42:48Z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