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20124-2024-E 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鄂尔多斯市瑞德煤化有限责任公司瑞德煤矿</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911506227678622718</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EnMS:未认可,E:未认可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EnMS：GB/T 23331-2020/ISO 50001 : 2018,E：GB/T 24001-2016/ISO14001:2015</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鄂尔多斯市瑞德煤化有限责任公司瑞德煤矿</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内蒙古自治区准格尔旗纳日松镇</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鄂尔多斯市准格尔旗纳日松镇乌兰哈达村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EnMS：露天煤矿的开采（限许可范围内）所涉及的能源管理活动</w:t>
            </w:r>
          </w:p>
          <w:p w:rsidR="00F1039B">
            <w:pPr>
              <w:snapToGrid w:val="0"/>
              <w:spacing w:line="0" w:lineRule="atLeast"/>
              <w:jc w:val="left"/>
              <w:rPr>
                <w:sz w:val="21"/>
                <w:szCs w:val="21"/>
                <w:lang w:val="en-GB"/>
              </w:rPr>
            </w:pPr>
            <w:r>
              <w:rPr>
                <w:sz w:val="21"/>
                <w:szCs w:val="21"/>
                <w:lang w:val="en-GB"/>
              </w:rPr>
              <w:t>E：露天煤矿的开采（限许可范围内）所涉及场所的相关环境管理活动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鄂尔多斯市瑞德煤化有限责任公司瑞德煤矿</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内蒙古自治区准格尔旗纳日松镇</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鄂尔多斯市准格尔旗纳日松镇乌兰哈达村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EnMS：露天煤矿的开采（限许可范围内）所涉及的能源管理活动</w:t>
            </w:r>
          </w:p>
          <w:p w:rsidR="00E9533D" w:rsidP="00E9533D">
            <w:pPr>
              <w:snapToGrid w:val="0"/>
              <w:spacing w:line="0" w:lineRule="atLeast"/>
              <w:jc w:val="left"/>
              <w:rPr>
                <w:sz w:val="21"/>
                <w:szCs w:val="21"/>
                <w:lang w:val="en-GB"/>
              </w:rPr>
            </w:pPr>
            <w:r>
              <w:rPr>
                <w:sz w:val="21"/>
                <w:szCs w:val="21"/>
                <w:lang w:val="en-GB"/>
              </w:rPr>
              <w:t>E：露天煤矿的开采（限许可范围内）所涉及场所的相关环境管理活动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EnMS:,E:</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鄂尔多斯市准格尔旗纳日松镇乌兰哈达村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