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十堰市利剑保安服务有限公司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陈彦文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曲丽娜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客户洽谈→签订合同→按要求履行服务（门卫、巡逻、守护、秩序维护）→业主确认→结算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客户需求不明确导致履约服务不符合要求，执行《合同评审程序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》、《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保安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服务过程控制程序》、《保安服务过程测量和监控程序》；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特殊过程为保安服务，执行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保安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服务过程控制程序》。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固废排放、火灾事故发生，执行《环境及职业健康安全运行控制程序》、《应急准备和响应管理程序》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火灾、触电、车辆伤害、意外伤害，执行《环境及职业健康安全运行控制程序》、《安全作业、劳动保护控制程序》、《应急准备和响应管理程序》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中华人民共和国劳动法、中华人民共和国劳动合同法、中华人民共和国合同法、</w:t>
            </w:r>
            <w:r>
              <w:rPr>
                <w:rFonts w:hint="eastAsia"/>
                <w:b/>
                <w:sz w:val="20"/>
              </w:rPr>
              <w:t>GA/T 594-2006《保安服务操作规程与质量控制》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《公安机关实施保安服务管理条例办法》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《保安服务管理条例》 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hAnsi="Times New Roman" w:cs="Times New Roman"/>
          <w:b/>
          <w:sz w:val="22"/>
          <w:szCs w:val="22"/>
          <w:lang w:val="en-US" w:eastAsia="zh-CN"/>
        </w:rPr>
      </w:pPr>
      <w:r>
        <w:rPr>
          <w:rFonts w:hint="eastAsia" w:ascii="宋体" w:hAnsi="Times New Roman" w:cs="Times New Roman"/>
          <w:b/>
          <w:sz w:val="22"/>
          <w:szCs w:val="22"/>
        </w:rPr>
        <w:t>填表人(专业人员)：陈彦文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2020.5.5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审核组长：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Times New Roman" w:cs="Times New Roman"/>
          <w:b/>
          <w:sz w:val="22"/>
          <w:szCs w:val="22"/>
        </w:rPr>
        <w:t>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2020.5.5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6B4145"/>
    <w:rsid w:val="07AA3C43"/>
    <w:rsid w:val="0A9F6C38"/>
    <w:rsid w:val="12502BAD"/>
    <w:rsid w:val="5BBC6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2020-05-12T07:20:59Z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