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重庆精科仪表制造有限责任公司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10182-2024-EO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重庆市北碚区天生路79号（北碚孵化园709号）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重庆市北碚区龙凤街道凤凰村龙洞湾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白爱华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13368383598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13368383598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2024-03-16上午至2024-03-16下午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E：物位仪表的设计装配，温度传感器的装配（有许可要求除外）所涉及场所的相关环境管理活动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O：物位仪表的设计装配，温度传感器的装配（有许可要求除外）所涉及场所的相关职业健康安全管理活动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E：19.05.01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2024-N0EMS-1305317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2024-N0OHSMS-1305317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