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61"/>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960"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961"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受审核部门：</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管理层、</w:t>
            </w:r>
            <w:r>
              <w:rPr>
                <w:rFonts w:hint="eastAsia" w:asciiTheme="minorEastAsia" w:hAnsiTheme="minorEastAsia" w:eastAsiaTheme="minorEastAsia" w:cstheme="minorEastAsia"/>
                <w:color w:val="auto"/>
                <w:sz w:val="21"/>
                <w:szCs w:val="21"/>
                <w:lang w:val="en-US" w:eastAsia="zh-CN"/>
              </w:rPr>
              <w:t>办公室</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采购部      总经理：曹建忠    管代：</w:t>
            </w:r>
            <w:r>
              <w:rPr>
                <w:rFonts w:hint="eastAsia" w:asciiTheme="minorEastAsia" w:hAnsiTheme="minorEastAsia" w:eastAsiaTheme="minorEastAsia" w:cstheme="minorEastAsia"/>
                <w:color w:val="auto"/>
                <w:sz w:val="21"/>
                <w:szCs w:val="21"/>
              </w:rPr>
              <w:t>曹建民</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陪同人员：冯静</w:t>
            </w:r>
            <w:r>
              <w:rPr>
                <w:rFonts w:hint="eastAsia" w:asciiTheme="minorEastAsia" w:hAnsiTheme="minorEastAsia" w:eastAsiaTheme="minorEastAsia" w:cstheme="minorEastAsia"/>
                <w:color w:val="auto"/>
                <w:sz w:val="21"/>
                <w:szCs w:val="21"/>
                <w:lang w:eastAsia="zh-CN"/>
              </w:rPr>
              <w:t>等</w:t>
            </w:r>
          </w:p>
        </w:tc>
        <w:tc>
          <w:tcPr>
            <w:tcW w:w="628"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961" w:type="dxa"/>
            <w:vAlign w:val="center"/>
          </w:tcPr>
          <w:p>
            <w:pPr>
              <w:spacing w:before="12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 xml:space="preserve">王志慧                   </w:t>
            </w:r>
            <w:r>
              <w:rPr>
                <w:rFonts w:hint="eastAsia" w:asciiTheme="minorEastAsia" w:hAnsiTheme="minorEastAsia" w:eastAsiaTheme="minorEastAsia" w:cstheme="minorEastAsia"/>
                <w:color w:val="auto"/>
                <w:sz w:val="21"/>
                <w:szCs w:val="21"/>
              </w:rPr>
              <w:t>审核时间：</w:t>
            </w:r>
            <w:r>
              <w:rPr>
                <w:rFonts w:hint="eastAsia" w:asciiTheme="minorEastAsia" w:hAnsiTheme="minorEastAsia" w:eastAsiaTheme="minorEastAsia" w:cstheme="minorEastAsia"/>
                <w:color w:val="auto"/>
                <w:sz w:val="21"/>
                <w:szCs w:val="21"/>
                <w:lang w:val="en-US" w:eastAsia="zh-CN"/>
              </w:rPr>
              <w:t>2020年4月29-30</w:t>
            </w:r>
            <w:bookmarkStart w:id="1" w:name="_GoBack"/>
            <w:bookmarkEnd w:id="1"/>
            <w:r>
              <w:rPr>
                <w:rFonts w:hint="eastAsia" w:asciiTheme="minorEastAsia" w:hAnsiTheme="minorEastAsia" w:eastAsiaTheme="minorEastAsia" w:cstheme="minorEastAsia"/>
                <w:color w:val="auto"/>
                <w:sz w:val="21"/>
                <w:szCs w:val="21"/>
                <w:lang w:val="en-US" w:eastAsia="zh-CN"/>
              </w:rPr>
              <w:t>日</w:t>
            </w:r>
          </w:p>
        </w:tc>
        <w:tc>
          <w:tcPr>
            <w:tcW w:w="628"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961"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审核条款：</w:t>
            </w:r>
            <w:r>
              <w:rPr>
                <w:rFonts w:hint="eastAsia" w:asciiTheme="minorEastAsia" w:hAnsiTheme="minorEastAsia" w:eastAsiaTheme="minorEastAsia" w:cstheme="minorEastAsia"/>
                <w:color w:val="auto"/>
                <w:sz w:val="21"/>
                <w:szCs w:val="21"/>
                <w:lang w:val="en-US" w:eastAsia="zh-CN"/>
              </w:rPr>
              <w:t>略</w:t>
            </w:r>
          </w:p>
        </w:tc>
        <w:tc>
          <w:tcPr>
            <w:tcW w:w="628"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60" w:type="dxa"/>
            <w:vAlign w:val="top"/>
          </w:tcPr>
          <w:p>
            <w:pPr>
              <w:spacing w:line="400" w:lineRule="exact"/>
              <w:rPr>
                <w:rFonts w:ascii="宋体" w:hAnsi="宋体"/>
                <w:color w:val="auto"/>
                <w:szCs w:val="21"/>
              </w:rPr>
            </w:pPr>
            <w:r>
              <w:rPr>
                <w:rFonts w:hint="eastAsia" w:ascii="宋体" w:hAnsi="宋体"/>
                <w:color w:val="auto"/>
                <w:szCs w:val="21"/>
              </w:rPr>
              <w:t>企业简介、组织机构及场所、资质</w:t>
            </w: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spacing w:line="400" w:lineRule="exact"/>
              <w:rPr>
                <w:rFonts w:ascii="宋体" w:hAnsi="宋体"/>
                <w:color w:val="auto"/>
                <w:szCs w:val="21"/>
              </w:rPr>
            </w:pPr>
            <w:r>
              <w:rPr>
                <w:rFonts w:hint="eastAsia" w:ascii="宋体" w:hAnsi="宋体"/>
                <w:color w:val="auto"/>
                <w:szCs w:val="21"/>
              </w:rPr>
              <w:t>管理体系运行时间（3 个月以上）</w:t>
            </w:r>
          </w:p>
          <w:p>
            <w:pPr>
              <w:spacing w:line="400" w:lineRule="exact"/>
              <w:rPr>
                <w:rFonts w:hint="eastAsia" w:asciiTheme="minorEastAsia" w:hAnsiTheme="minorEastAsia" w:eastAsiaTheme="minorEastAsia" w:cstheme="minorEastAsia"/>
                <w:color w:val="auto"/>
                <w:sz w:val="21"/>
                <w:szCs w:val="21"/>
              </w:rPr>
            </w:pPr>
            <w:r>
              <w:rPr>
                <w:rFonts w:hint="eastAsia" w:ascii="宋体" w:hAnsi="宋体"/>
                <w:color w:val="auto"/>
                <w:szCs w:val="21"/>
              </w:rPr>
              <w:t>确认组织实际与管理体系文件化信息描述的一致性</w:t>
            </w:r>
          </w:p>
        </w:tc>
        <w:tc>
          <w:tcPr>
            <w:tcW w:w="960" w:type="dxa"/>
            <w:vAlign w:val="top"/>
          </w:tcPr>
          <w:p>
            <w:pPr>
              <w:adjustRightInd w:val="0"/>
              <w:snapToGrid w:val="0"/>
              <w:rPr>
                <w:rFonts w:ascii="宋体" w:hAnsi="宋体" w:cs="宋体"/>
                <w:color w:val="auto"/>
                <w:szCs w:val="21"/>
              </w:rPr>
            </w:pPr>
            <w:r>
              <w:rPr>
                <w:rFonts w:hint="eastAsia" w:ascii="宋体" w:hAnsi="宋体"/>
                <w:color w:val="auto"/>
                <w:szCs w:val="21"/>
                <w:lang w:val="en-US" w:eastAsia="zh-CN"/>
              </w:rPr>
              <w:t>Q/E/S:</w:t>
            </w:r>
            <w:r>
              <w:rPr>
                <w:rFonts w:hint="eastAsia" w:ascii="宋体" w:hAnsi="宋体" w:cs="宋体"/>
                <w:color w:val="auto"/>
                <w:szCs w:val="21"/>
              </w:rPr>
              <w:t>4.1;4.2;4.3;4.4</w:t>
            </w:r>
          </w:p>
          <w:p>
            <w:pPr>
              <w:spacing w:line="440" w:lineRule="exact"/>
              <w:jc w:val="center"/>
              <w:rPr>
                <w:rFonts w:hint="default" w:ascii="宋体" w:hAnsi="宋体" w:eastAsia="宋体"/>
                <w:color w:val="auto"/>
                <w:szCs w:val="21"/>
                <w:lang w:val="en-US" w:eastAsia="zh-CN"/>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color w:val="auto"/>
                <w:szCs w:val="21"/>
              </w:rPr>
            </w:pPr>
          </w:p>
          <w:p>
            <w:pPr>
              <w:spacing w:line="440" w:lineRule="exact"/>
              <w:rPr>
                <w:rFonts w:hint="eastAsia" w:asciiTheme="minorEastAsia" w:hAnsiTheme="minorEastAsia" w:eastAsiaTheme="minorEastAsia" w:cstheme="minorEastAsia"/>
                <w:color w:val="auto"/>
                <w:sz w:val="21"/>
                <w:szCs w:val="21"/>
              </w:rPr>
            </w:pPr>
          </w:p>
        </w:tc>
        <w:tc>
          <w:tcPr>
            <w:tcW w:w="10961" w:type="dxa"/>
            <w:vAlign w:val="top"/>
          </w:tcPr>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河北烨普塑业有限公司成立于2019年10月22日，位于河北省宁晋县，是主营PPR、PE管与管件、自来水管材与管件、水暖件、水暖件</w:t>
            </w:r>
            <w:r>
              <w:rPr>
                <w:rFonts w:hint="eastAsia" w:asciiTheme="minorEastAsia" w:hAnsiTheme="minorEastAsia" w:eastAsiaTheme="minorEastAsia" w:cstheme="minorEastAsia"/>
                <w:color w:val="auto"/>
                <w:lang w:eastAsia="zh-CN"/>
              </w:rPr>
              <w:t>等产品</w:t>
            </w:r>
            <w:r>
              <w:rPr>
                <w:rFonts w:hint="eastAsia" w:asciiTheme="minorEastAsia" w:hAnsiTheme="minorEastAsia" w:eastAsiaTheme="minorEastAsia" w:cstheme="minorEastAsia"/>
                <w:color w:val="auto"/>
              </w:rPr>
              <w:t>销售</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服务于建筑行业。地址：河北省邢台市宁晋县耿庄桥镇曹家台村村东</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企业营业执照在有效期内，认证范围在营业范围内。</w:t>
            </w:r>
          </w:p>
          <w:p>
            <w:pPr>
              <w:spacing w:line="400" w:lineRule="exact"/>
              <w:rPr>
                <w:rFonts w:hint="eastAsia" w:asciiTheme="minorEastAsia" w:hAnsiTheme="minorEastAsia" w:eastAsiaTheme="minorEastAsia" w:cstheme="minorEastAsia"/>
                <w:color w:val="auto"/>
                <w:sz w:val="21"/>
                <w:szCs w:val="21"/>
                <w:lang w:val="en-US" w:eastAsia="zh-CN"/>
              </w:rPr>
            </w:pPr>
          </w:p>
          <w:p>
            <w:pPr>
              <w:ind w:firstLine="420" w:firstLineChars="200"/>
              <w:rPr>
                <w:rFonts w:hint="eastAsia"/>
                <w:color w:val="auto"/>
                <w:sz w:val="21"/>
                <w:szCs w:val="21"/>
              </w:rPr>
            </w:pPr>
            <w:r>
              <w:rPr>
                <w:rFonts w:hint="eastAsia"/>
              </w:rPr>
              <w:t>经</w:t>
            </w:r>
            <w:r>
              <w:rPr>
                <w:rFonts w:hint="eastAsia"/>
                <w:color w:val="auto"/>
              </w:rPr>
              <w:t>确认受审核方的管理体系范围为：</w:t>
            </w:r>
          </w:p>
          <w:p>
            <w:pPr>
              <w:rPr>
                <w:sz w:val="21"/>
                <w:szCs w:val="21"/>
              </w:rPr>
            </w:pPr>
            <w:bookmarkStart w:id="0" w:name="审核范围"/>
            <w:r>
              <w:rPr>
                <w:sz w:val="21"/>
                <w:szCs w:val="21"/>
              </w:rPr>
              <w:t>Q：PPR、PE管、管件、水暖件的销售</w:t>
            </w:r>
          </w:p>
          <w:p>
            <w:pPr>
              <w:rPr>
                <w:sz w:val="21"/>
                <w:szCs w:val="21"/>
              </w:rPr>
            </w:pPr>
            <w:r>
              <w:rPr>
                <w:sz w:val="21"/>
                <w:szCs w:val="21"/>
              </w:rPr>
              <w:t>E：PPR、PE管、管件、水暖件的销售所涉及的相关环境管理活动</w:t>
            </w:r>
          </w:p>
          <w:p>
            <w:pPr>
              <w:pStyle w:val="2"/>
              <w:rPr>
                <w:rFonts w:hint="eastAsia"/>
                <w:sz w:val="21"/>
                <w:szCs w:val="21"/>
              </w:rPr>
            </w:pPr>
            <w:r>
              <w:rPr>
                <w:sz w:val="21"/>
                <w:szCs w:val="21"/>
              </w:rPr>
              <w:t>O：PPR、PE管、管件、水暖件的销售所涉及的相关职业健康安全管理活动</w:t>
            </w:r>
            <w:bookmarkEnd w:id="0"/>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Q8.3不适合条款的确认</w:t>
            </w:r>
            <w:r>
              <w:rPr>
                <w:rFonts w:hint="eastAsia" w:ascii="宋体" w:hAnsi="宋体"/>
                <w:color w:val="auto"/>
                <w:szCs w:val="21"/>
                <w:highlight w:val="none"/>
                <w:lang w:val="en-US" w:eastAsia="zh-CN"/>
              </w:rPr>
              <w:t>理由：</w:t>
            </w:r>
            <w:r>
              <w:rPr>
                <w:rFonts w:hint="eastAsia" w:ascii="宋体" w:hAnsi="宋体" w:cs="Times New Roman"/>
                <w:color w:val="auto"/>
                <w:sz w:val="21"/>
                <w:szCs w:val="21"/>
                <w:u w:val="none"/>
              </w:rPr>
              <w:t>公司</w:t>
            </w:r>
            <w:r>
              <w:rPr>
                <w:rFonts w:hint="eastAsia" w:ascii="宋体" w:hAnsi="宋体" w:cs="Times New Roman"/>
                <w:color w:val="auto"/>
                <w:sz w:val="21"/>
                <w:szCs w:val="21"/>
                <w:u w:val="none"/>
                <w:lang w:eastAsia="zh-CN"/>
              </w:rPr>
              <w:t>的产品销售</w:t>
            </w:r>
            <w:r>
              <w:rPr>
                <w:rFonts w:hint="eastAsia" w:ascii="宋体" w:hAnsi="宋体" w:cs="Times New Roman"/>
                <w:color w:val="auto"/>
                <w:sz w:val="21"/>
                <w:szCs w:val="21"/>
                <w:u w:val="none"/>
              </w:rPr>
              <w:t>,</w:t>
            </w:r>
            <w:r>
              <w:rPr>
                <w:rFonts w:hint="eastAsia" w:ascii="宋体" w:hAnsi="宋体" w:cs="Times New Roman"/>
                <w:color w:val="auto"/>
                <w:sz w:val="21"/>
                <w:szCs w:val="21"/>
                <w:u w:val="none"/>
                <w:lang w:eastAsia="zh-CN"/>
              </w:rPr>
              <w:t>根据常规的销售模式进行，</w:t>
            </w:r>
            <w:r>
              <w:rPr>
                <w:rFonts w:hint="eastAsia" w:ascii="宋体" w:hAnsi="宋体" w:cs="Times New Roman"/>
                <w:color w:val="auto"/>
                <w:sz w:val="21"/>
                <w:szCs w:val="21"/>
                <w:u w:val="none"/>
              </w:rPr>
              <w:t>因此标准8.3条款“产品和服务的设计和开发”要求不适用。</w:t>
            </w:r>
            <w:r>
              <w:rPr>
                <w:rFonts w:hint="eastAsia" w:asciiTheme="minorEastAsia" w:hAnsiTheme="minorEastAsia" w:eastAsiaTheme="minorEastAsia" w:cstheme="minorEastAsia"/>
                <w:color w:val="auto"/>
                <w:sz w:val="21"/>
                <w:szCs w:val="21"/>
              </w:rPr>
              <w:t xml:space="preserve">  </w:t>
            </w:r>
          </w:p>
          <w:p>
            <w:pPr>
              <w:pStyle w:val="2"/>
              <w:rPr>
                <w:rFonts w:hint="eastAsia"/>
              </w:rPr>
            </w:pP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询问，主要设备为</w:t>
            </w:r>
            <w:r>
              <w:rPr>
                <w:rFonts w:hint="eastAsia" w:asciiTheme="minorEastAsia" w:hAnsiTheme="minorEastAsia" w:eastAsiaTheme="minorEastAsia" w:cstheme="minorEastAsia"/>
                <w:color w:val="auto"/>
                <w:sz w:val="21"/>
                <w:szCs w:val="21"/>
                <w:lang w:val="en-US" w:eastAsia="zh-CN"/>
              </w:rPr>
              <w:t>电脑及办公设备</w:t>
            </w:r>
            <w:r>
              <w:rPr>
                <w:rFonts w:hint="eastAsia" w:asciiTheme="minorEastAsia" w:hAnsiTheme="minorEastAsia" w:eastAsiaTheme="minorEastAsia" w:cstheme="minorEastAsia"/>
                <w:color w:val="auto"/>
                <w:sz w:val="21"/>
                <w:szCs w:val="21"/>
              </w:rPr>
              <w:t>等。</w:t>
            </w: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关键</w:t>
            </w:r>
            <w:r>
              <w:rPr>
                <w:rFonts w:hint="eastAsia" w:asciiTheme="minorEastAsia" w:hAnsiTheme="minorEastAsia" w:eastAsiaTheme="minorEastAsia" w:cstheme="minorEastAsia"/>
                <w:color w:val="auto"/>
                <w:sz w:val="21"/>
                <w:szCs w:val="21"/>
              </w:rPr>
              <w:t>过程：销售过程。</w:t>
            </w: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查体系运行时间：2019年</w:t>
            </w: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日。</w:t>
            </w: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组织实际与管理体系文件化信息描述基本一致。有管理层、</w:t>
            </w:r>
            <w:r>
              <w:rPr>
                <w:rFonts w:hint="eastAsia" w:asciiTheme="minorEastAsia" w:hAnsiTheme="minorEastAsia" w:eastAsiaTheme="minorEastAsia" w:cstheme="minorEastAsia"/>
                <w:color w:val="auto"/>
                <w:sz w:val="21"/>
                <w:szCs w:val="21"/>
                <w:lang w:val="en-US" w:eastAsia="zh-CN"/>
              </w:rPr>
              <w:t>销售部、采购部、办公室</w:t>
            </w:r>
            <w:r>
              <w:rPr>
                <w:rFonts w:hint="eastAsia" w:asciiTheme="minorEastAsia" w:hAnsiTheme="minorEastAsia" w:eastAsiaTheme="minorEastAsia" w:cstheme="minorEastAsia"/>
                <w:color w:val="auto"/>
                <w:sz w:val="21"/>
                <w:szCs w:val="21"/>
              </w:rPr>
              <w:t>。</w:t>
            </w:r>
          </w:p>
          <w:p>
            <w:pPr>
              <w:spacing w:line="4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查，管理体系文件名称：</w:t>
            </w:r>
            <w:r>
              <w:rPr>
                <w:rFonts w:hint="eastAsia" w:asciiTheme="minorEastAsia" w:hAnsiTheme="minorEastAsia" w:eastAsiaTheme="minorEastAsia" w:cstheme="minorEastAsia"/>
                <w:color w:val="auto"/>
                <w:kern w:val="44"/>
                <w:sz w:val="21"/>
                <w:szCs w:val="21"/>
              </w:rPr>
              <w:t>质量手册，程序文件</w:t>
            </w:r>
            <w:r>
              <w:rPr>
                <w:rFonts w:hint="eastAsia" w:asciiTheme="minorEastAsia" w:hAnsiTheme="minorEastAsia" w:eastAsiaTheme="minorEastAsia" w:cstheme="minorEastAsia"/>
                <w:color w:val="auto"/>
                <w:kern w:val="44"/>
                <w:sz w:val="21"/>
                <w:szCs w:val="21"/>
                <w:lang w:val="en-US" w:eastAsia="zh-CN"/>
              </w:rPr>
              <w:t>等</w:t>
            </w:r>
            <w:r>
              <w:rPr>
                <w:rFonts w:hint="eastAsia" w:asciiTheme="minorEastAsia" w:hAnsiTheme="minorEastAsia" w:eastAsiaTheme="minorEastAsia" w:cstheme="minorEastAsia"/>
                <w:color w:val="auto"/>
                <w:kern w:val="44"/>
                <w:sz w:val="21"/>
                <w:szCs w:val="21"/>
              </w:rPr>
              <w:t>。</w:t>
            </w:r>
          </w:p>
        </w:tc>
        <w:tc>
          <w:tcPr>
            <w:tcW w:w="628" w:type="dxa"/>
            <w:vAlign w:val="top"/>
          </w:tcPr>
          <w:p>
            <w:pPr>
              <w:spacing w:line="4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符合</w:t>
            </w:r>
          </w:p>
          <w:p>
            <w:pPr>
              <w:spacing w:line="440" w:lineRule="exact"/>
              <w:rPr>
                <w:rFonts w:ascii="宋体" w:hAnsi="宋体"/>
                <w:color w:val="auto"/>
                <w:szCs w:val="21"/>
              </w:rPr>
            </w:pPr>
          </w:p>
          <w:p>
            <w:pPr>
              <w:spacing w:line="440" w:lineRule="exact"/>
              <w:jc w:val="center"/>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60" w:type="dxa"/>
            <w:vAlign w:val="top"/>
          </w:tcPr>
          <w:p>
            <w:pPr>
              <w:spacing w:line="400" w:lineRule="exact"/>
              <w:rPr>
                <w:rFonts w:ascii="宋体" w:hAnsi="宋体"/>
                <w:color w:val="auto"/>
                <w:szCs w:val="21"/>
              </w:rPr>
            </w:pPr>
            <w:r>
              <w:rPr>
                <w:rFonts w:hint="eastAsia" w:ascii="宋体" w:hAnsi="宋体"/>
                <w:color w:val="auto"/>
                <w:szCs w:val="21"/>
              </w:rPr>
              <w:t>方针及目标、指标及方案</w:t>
            </w:r>
          </w:p>
          <w:p>
            <w:pPr>
              <w:spacing w:line="400" w:lineRule="exact"/>
              <w:rPr>
                <w:rFonts w:hint="eastAsia" w:asciiTheme="minorEastAsia" w:hAnsiTheme="minorEastAsia" w:eastAsiaTheme="minorEastAsia" w:cstheme="minorEastAsia"/>
                <w:color w:val="auto"/>
                <w:sz w:val="21"/>
                <w:szCs w:val="21"/>
              </w:rPr>
            </w:pPr>
          </w:p>
        </w:tc>
        <w:tc>
          <w:tcPr>
            <w:tcW w:w="960" w:type="dxa"/>
            <w:vAlign w:val="top"/>
          </w:tcPr>
          <w:p>
            <w:pPr>
              <w:adjustRightInd w:val="0"/>
              <w:snapToGrid w:val="0"/>
              <w:rPr>
                <w:rFonts w:ascii="宋体" w:hAnsi="宋体" w:cs="宋体"/>
                <w:color w:val="auto"/>
                <w:szCs w:val="21"/>
              </w:rPr>
            </w:pPr>
            <w:r>
              <w:rPr>
                <w:rFonts w:hint="eastAsia" w:ascii="宋体" w:hAnsi="宋体"/>
                <w:color w:val="auto"/>
                <w:szCs w:val="21"/>
                <w:lang w:val="en-US" w:eastAsia="zh-CN"/>
              </w:rPr>
              <w:t>Q/E/S:</w:t>
            </w:r>
            <w:r>
              <w:rPr>
                <w:rFonts w:hint="eastAsia" w:ascii="宋体" w:hAnsi="宋体" w:cs="宋体"/>
                <w:color w:val="auto"/>
                <w:szCs w:val="21"/>
                <w:lang w:val="en-US" w:eastAsia="zh-CN"/>
              </w:rPr>
              <w:t>5</w:t>
            </w:r>
            <w:r>
              <w:rPr>
                <w:rFonts w:hint="eastAsia" w:ascii="宋体" w:hAnsi="宋体" w:cs="宋体"/>
                <w:color w:val="auto"/>
                <w:szCs w:val="21"/>
              </w:rPr>
              <w:t>.1;</w:t>
            </w:r>
            <w:r>
              <w:rPr>
                <w:rFonts w:hint="eastAsia" w:ascii="宋体" w:hAnsi="宋体" w:cs="宋体"/>
                <w:color w:val="auto"/>
                <w:szCs w:val="21"/>
                <w:lang w:val="en-US" w:eastAsia="zh-CN"/>
              </w:rPr>
              <w:t>6</w:t>
            </w:r>
            <w:r>
              <w:rPr>
                <w:rFonts w:hint="eastAsia" w:ascii="宋体" w:hAnsi="宋体" w:cs="宋体"/>
                <w:color w:val="auto"/>
                <w:szCs w:val="21"/>
              </w:rPr>
              <w:t>.2</w:t>
            </w:r>
          </w:p>
          <w:p>
            <w:pPr>
              <w:spacing w:line="440" w:lineRule="exact"/>
              <w:jc w:val="center"/>
              <w:rPr>
                <w:rFonts w:hint="eastAsia" w:asciiTheme="minorEastAsia" w:hAnsiTheme="minorEastAsia" w:eastAsiaTheme="minorEastAsia" w:cstheme="minorEastAsia"/>
                <w:color w:val="auto"/>
                <w:sz w:val="21"/>
                <w:szCs w:val="21"/>
              </w:rPr>
            </w:pPr>
          </w:p>
        </w:tc>
        <w:tc>
          <w:tcPr>
            <w:tcW w:w="10961"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质量/环境/安全方针为：</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公司的质量、环境、职业健康安全方针是：</w:t>
            </w:r>
          </w:p>
          <w:p>
            <w:pPr>
              <w:ind w:firstLine="420" w:firstLineChars="200"/>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坚持产品质量第一，确保增进顾客满意；</w:t>
            </w:r>
          </w:p>
          <w:p>
            <w:pPr>
              <w:ind w:firstLine="420" w:firstLineChars="200"/>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坚持遵守法律法规，实现环保安全目标；</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2"/>
              </w:rPr>
              <w:t>规范企业经营管理，持续改进管理体系。</w:t>
            </w:r>
          </w:p>
          <w:p>
            <w:pPr>
              <w:rPr>
                <w:rFonts w:hint="eastAsia" w:asciiTheme="minorEastAsia" w:hAnsiTheme="minorEastAsia" w:eastAsiaTheme="minorEastAsia" w:cstheme="minorEastAsia"/>
                <w:color w:val="auto"/>
                <w:sz w:val="21"/>
                <w:szCs w:val="21"/>
              </w:rPr>
            </w:pPr>
          </w:p>
          <w:p>
            <w:pPr>
              <w:widowControl/>
              <w:spacing w:line="460" w:lineRule="exact"/>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质量目标</w:t>
            </w:r>
          </w:p>
          <w:p>
            <w:pPr>
              <w:spacing w:line="460" w:lineRule="exact"/>
              <w:ind w:firstLine="525" w:firstLineChars="25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1、采购产品合格率≥95%；</w:t>
            </w:r>
          </w:p>
          <w:p>
            <w:pPr>
              <w:tabs>
                <w:tab w:val="left" w:pos="735"/>
              </w:tabs>
              <w:spacing w:line="460" w:lineRule="exact"/>
              <w:ind w:firstLine="525" w:firstLineChars="25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2、顾客满意率≥90%</w:t>
            </w:r>
          </w:p>
          <w:p>
            <w:pPr>
              <w:widowControl/>
              <w:spacing w:line="460" w:lineRule="exact"/>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环境目标</w:t>
            </w:r>
          </w:p>
          <w:p>
            <w:pPr>
              <w:widowControl/>
              <w:spacing w:line="460" w:lineRule="exact"/>
              <w:ind w:firstLine="525" w:firstLineChars="25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1、固体废弃物分类回收率100%；</w:t>
            </w:r>
          </w:p>
          <w:p>
            <w:pPr>
              <w:widowControl/>
              <w:spacing w:line="460" w:lineRule="exact"/>
              <w:ind w:firstLine="525" w:firstLineChars="25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2、杜绝火灾事故发生。</w:t>
            </w:r>
          </w:p>
          <w:p>
            <w:pPr>
              <w:widowControl/>
              <w:spacing w:line="460" w:lineRule="exact"/>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职业健康安全目标</w:t>
            </w:r>
          </w:p>
          <w:p>
            <w:pPr>
              <w:widowControl/>
              <w:spacing w:line="460" w:lineRule="exact"/>
              <w:ind w:firstLine="525" w:firstLineChars="25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kern w:val="0"/>
                <w:sz w:val="21"/>
                <w:szCs w:val="21"/>
              </w:rPr>
              <w:t>杜绝火灾事故发生</w:t>
            </w:r>
            <w:r>
              <w:rPr>
                <w:rFonts w:hint="eastAsia" w:asciiTheme="minorEastAsia" w:hAnsiTheme="minorEastAsia" w:eastAsiaTheme="minorEastAsia" w:cstheme="minorEastAsia"/>
                <w:color w:val="auto"/>
                <w:sz w:val="21"/>
                <w:szCs w:val="21"/>
              </w:rPr>
              <w:t>；</w:t>
            </w:r>
          </w:p>
          <w:p>
            <w:pPr>
              <w:spacing w:line="460" w:lineRule="exact"/>
              <w:ind w:firstLine="525" w:firstLineChars="25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2、杜绝死亡及重大安全事故发生。</w:t>
            </w:r>
          </w:p>
          <w:p>
            <w:pPr>
              <w:spacing w:line="460" w:lineRule="exact"/>
              <w:ind w:firstLine="525" w:firstLineChars="250"/>
              <w:rPr>
                <w:rFonts w:hint="eastAsia"/>
                <w:color w:val="auto"/>
              </w:rPr>
            </w:pPr>
            <w:r>
              <w:rPr>
                <w:rFonts w:hint="eastAsia" w:asciiTheme="minorEastAsia" w:hAnsiTheme="minorEastAsia" w:eastAsiaTheme="minorEastAsia" w:cstheme="minorEastAsia"/>
                <w:color w:val="auto"/>
                <w:kern w:val="0"/>
                <w:sz w:val="21"/>
                <w:szCs w:val="21"/>
              </w:rPr>
              <w:t>3、轻伤事故少于3起/年。</w:t>
            </w:r>
          </w:p>
          <w:p>
            <w:pPr>
              <w:ind w:firstLine="420" w:firstLineChars="200"/>
              <w:rPr>
                <w:rFonts w:hint="eastAsia"/>
                <w:color w:val="auto"/>
              </w:rPr>
            </w:pPr>
            <w:r>
              <w:rPr>
                <w:rFonts w:hint="eastAsia"/>
                <w:color w:val="auto"/>
              </w:rPr>
              <w:t>目标可测量，与公司管理方针一致。</w:t>
            </w:r>
          </w:p>
          <w:p>
            <w:pPr>
              <w:ind w:firstLine="420" w:firstLineChars="200"/>
              <w:rPr>
                <w:rFonts w:hint="eastAsia"/>
                <w:color w:val="auto"/>
              </w:rPr>
            </w:pPr>
            <w:r>
              <w:rPr>
                <w:rFonts w:hint="eastAsia"/>
                <w:color w:val="auto"/>
              </w:rPr>
              <w:t>每季度由总经办按公司管理目标考核要求统计考核公司管理目标完成情况，提交管理评审会议。查到2019年第</w:t>
            </w:r>
            <w:r>
              <w:rPr>
                <w:rFonts w:hint="eastAsia"/>
                <w:color w:val="auto"/>
                <w:lang w:val="en-US" w:eastAsia="zh-CN"/>
              </w:rPr>
              <w:t>四</w:t>
            </w:r>
            <w:r>
              <w:rPr>
                <w:rFonts w:hint="eastAsia"/>
                <w:color w:val="auto"/>
              </w:rPr>
              <w:t>季度公司管理目标完成情况，各项目标均已完成，考核人</w:t>
            </w:r>
            <w:r>
              <w:rPr>
                <w:rFonts w:hint="eastAsia"/>
                <w:color w:val="auto"/>
                <w:lang w:eastAsia="zh-CN"/>
              </w:rPr>
              <w:t xml:space="preserve">曹建民 </w:t>
            </w:r>
            <w:r>
              <w:rPr>
                <w:rFonts w:hint="eastAsia"/>
                <w:color w:val="auto"/>
              </w:rPr>
              <w:t>。</w:t>
            </w:r>
          </w:p>
          <w:p>
            <w:pPr>
              <w:ind w:firstLine="420" w:firstLineChars="200"/>
              <w:rPr>
                <w:rFonts w:hint="eastAsia"/>
                <w:color w:val="auto"/>
              </w:rPr>
            </w:pPr>
            <w:r>
              <w:rPr>
                <w:rFonts w:hint="eastAsia"/>
                <w:color w:val="auto"/>
              </w:rPr>
              <w:t>公司管理目标已分解到各部门，由总经办负责统计考核。</w:t>
            </w:r>
          </w:p>
          <w:p>
            <w:pPr>
              <w:ind w:firstLine="420" w:firstLineChars="200"/>
              <w:rPr>
                <w:rFonts w:hint="eastAsia" w:asciiTheme="minorEastAsia" w:hAnsiTheme="minorEastAsia" w:eastAsiaTheme="minorEastAsia" w:cstheme="minorEastAsia"/>
                <w:color w:val="auto"/>
                <w:sz w:val="21"/>
                <w:szCs w:val="21"/>
              </w:rPr>
            </w:pPr>
            <w:r>
              <w:rPr>
                <w:rFonts w:hint="eastAsia"/>
                <w:color w:val="auto"/>
              </w:rPr>
              <w:t>针对重要环境因素、重大危险源制订了管理方案并予以实施，基本有效，</w:t>
            </w:r>
            <w:r>
              <w:rPr>
                <w:rFonts w:hint="eastAsia"/>
                <w:color w:val="auto"/>
                <w:lang w:val="en-US" w:eastAsia="zh-CN"/>
              </w:rPr>
              <w:t>同时见《2019年第4季度环境/职业健康安全目标完成情况考核记录》</w:t>
            </w:r>
            <w:r>
              <w:rPr>
                <w:rFonts w:hint="eastAsia"/>
                <w:color w:val="auto"/>
                <w:lang w:eastAsia="zh-CN"/>
              </w:rPr>
              <w:t>，二阶段详查。</w:t>
            </w:r>
          </w:p>
        </w:tc>
        <w:tc>
          <w:tcPr>
            <w:tcW w:w="628" w:type="dxa"/>
            <w:vAlign w:val="top"/>
          </w:tcPr>
          <w:p>
            <w:pPr>
              <w:spacing w:line="44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符合</w:t>
            </w:r>
          </w:p>
          <w:p>
            <w:pPr>
              <w:spacing w:line="44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160" w:type="dxa"/>
            <w:vAlign w:val="top"/>
          </w:tcPr>
          <w:p>
            <w:pPr>
              <w:spacing w:line="400" w:lineRule="exact"/>
              <w:rPr>
                <w:rFonts w:hint="eastAsia" w:asciiTheme="minorEastAsia" w:hAnsiTheme="minorEastAsia" w:eastAsiaTheme="minorEastAsia" w:cstheme="minorEastAsia"/>
                <w:color w:val="auto"/>
                <w:sz w:val="21"/>
                <w:szCs w:val="21"/>
              </w:rPr>
            </w:pPr>
            <w:r>
              <w:rPr>
                <w:rFonts w:hint="eastAsia" w:ascii="宋体" w:hAnsi="宋体"/>
                <w:color w:val="auto"/>
                <w:szCs w:val="21"/>
              </w:rPr>
              <w:t>内部审核：</w:t>
            </w:r>
          </w:p>
        </w:tc>
        <w:tc>
          <w:tcPr>
            <w:tcW w:w="960" w:type="dxa"/>
            <w:vAlign w:val="top"/>
          </w:tcPr>
          <w:p>
            <w:pPr>
              <w:adjustRightInd w:val="0"/>
              <w:snapToGrid w:val="0"/>
              <w:rPr>
                <w:rFonts w:hint="default" w:ascii="宋体" w:hAnsi="宋体" w:cs="宋体"/>
                <w:color w:val="auto"/>
                <w:szCs w:val="21"/>
                <w:lang w:val="en-US"/>
              </w:rPr>
            </w:pPr>
            <w:r>
              <w:rPr>
                <w:rFonts w:hint="eastAsia" w:ascii="宋体" w:hAnsi="宋体"/>
                <w:color w:val="auto"/>
                <w:szCs w:val="21"/>
                <w:lang w:val="en-US" w:eastAsia="zh-CN"/>
              </w:rPr>
              <w:t>Q/E/S:</w:t>
            </w:r>
            <w:r>
              <w:rPr>
                <w:rFonts w:hint="eastAsia" w:ascii="宋体" w:hAnsi="宋体" w:cs="宋体"/>
                <w:color w:val="auto"/>
                <w:szCs w:val="21"/>
                <w:lang w:val="en-US" w:eastAsia="zh-CN"/>
              </w:rPr>
              <w:t>9.2</w:t>
            </w:r>
          </w:p>
          <w:p>
            <w:pPr>
              <w:spacing w:line="440" w:lineRule="exact"/>
              <w:jc w:val="center"/>
              <w:rPr>
                <w:rFonts w:hint="eastAsia" w:asciiTheme="minorEastAsia" w:hAnsiTheme="minorEastAsia" w:eastAsiaTheme="minorEastAsia" w:cstheme="minorEastAsia"/>
                <w:color w:val="auto"/>
                <w:sz w:val="21"/>
                <w:szCs w:val="21"/>
              </w:rPr>
            </w:pPr>
          </w:p>
        </w:tc>
        <w:tc>
          <w:tcPr>
            <w:tcW w:w="10961" w:type="dxa"/>
            <w:vAlign w:val="top"/>
          </w:tcPr>
          <w:p>
            <w:p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有</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内部审核控制程序</w:t>
            </w:r>
            <w:r>
              <w:rPr>
                <w:rFonts w:hint="eastAsia" w:asciiTheme="minorEastAsia" w:hAnsiTheme="minorEastAsia" w:eastAsiaTheme="minorEastAsia" w:cstheme="minorEastAsia"/>
                <w:color w:val="auto"/>
                <w:kern w:val="0"/>
                <w:sz w:val="21"/>
                <w:szCs w:val="21"/>
                <w:lang w:eastAsia="zh-CN"/>
              </w:rPr>
              <w:t>》，查最近一次</w:t>
            </w:r>
            <w:r>
              <w:rPr>
                <w:rFonts w:hint="eastAsia" w:asciiTheme="minorEastAsia" w:hAnsiTheme="minorEastAsia" w:eastAsiaTheme="minorEastAsia" w:cstheme="minorEastAsia"/>
                <w:color w:val="auto"/>
                <w:kern w:val="0"/>
                <w:sz w:val="21"/>
                <w:szCs w:val="21"/>
              </w:rPr>
              <w:t>《内审计划》</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审核日期</w:t>
            </w:r>
            <w:r>
              <w:rPr>
                <w:rFonts w:hint="eastAsia" w:asciiTheme="minorEastAsia" w:hAnsiTheme="minorEastAsia" w:eastAsiaTheme="minorEastAsia" w:cstheme="minorEastAsia"/>
                <w:color w:val="auto"/>
                <w:kern w:val="0"/>
                <w:sz w:val="21"/>
                <w:szCs w:val="21"/>
              </w:rPr>
              <w:t>：2020年</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月15-16日</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审核组长： 冯静</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组员：郭义彪，参加过内审员培训，有《培训记录》；有首末次会议《签到表》；</w:t>
            </w:r>
            <w:r>
              <w:rPr>
                <w:rFonts w:hint="eastAsia" w:asciiTheme="minorEastAsia" w:hAnsiTheme="minorEastAsia" w:eastAsiaTheme="minorEastAsia" w:cstheme="minorEastAsia"/>
                <w:color w:val="auto"/>
                <w:kern w:val="0"/>
                <w:sz w:val="21"/>
                <w:szCs w:val="21"/>
                <w:lang w:eastAsia="zh-CN"/>
              </w:rPr>
              <w:tab/>
            </w:r>
          </w:p>
          <w:p>
            <w:p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有各部门《内审检查表》</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覆盖全部门，共发现不符合项1项，采购部，为一般不符合，</w:t>
            </w:r>
            <w:r>
              <w:rPr>
                <w:rFonts w:hint="eastAsia" w:asciiTheme="minorEastAsia" w:hAnsiTheme="minorEastAsia" w:eastAsiaTheme="minorEastAsia" w:cstheme="minorEastAsia"/>
                <w:color w:val="auto"/>
                <w:kern w:val="0"/>
                <w:sz w:val="21"/>
                <w:szCs w:val="21"/>
              </w:rPr>
              <w:t>质量、环境管理体系适用的法律法规中《中华人民共和国质量、环境保护法》不是最新版本</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已经纠正。</w:t>
            </w: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有《内审报告》，结论：体系基本</w:t>
            </w:r>
            <w:r>
              <w:rPr>
                <w:rFonts w:hint="eastAsia" w:asciiTheme="minorEastAsia" w:hAnsiTheme="minorEastAsia" w:eastAsiaTheme="minorEastAsia" w:cstheme="minorEastAsia"/>
                <w:color w:val="auto"/>
                <w:kern w:val="0"/>
                <w:sz w:val="21"/>
                <w:szCs w:val="21"/>
                <w:lang w:val="en-US" w:eastAsia="zh-CN"/>
              </w:rPr>
              <w:t>符合</w:t>
            </w:r>
            <w:r>
              <w:rPr>
                <w:rFonts w:hint="eastAsia" w:asciiTheme="minorEastAsia" w:hAnsiTheme="minorEastAsia" w:eastAsiaTheme="minorEastAsia" w:cstheme="minorEastAsia"/>
                <w:color w:val="auto"/>
                <w:kern w:val="0"/>
                <w:sz w:val="21"/>
                <w:szCs w:val="21"/>
              </w:rPr>
              <w:t>标准要求，运行基本正常；</w:t>
            </w:r>
          </w:p>
        </w:tc>
        <w:tc>
          <w:tcPr>
            <w:tcW w:w="628" w:type="dxa"/>
            <w:vAlign w:val="top"/>
          </w:tcPr>
          <w:p>
            <w:pPr>
              <w:spacing w:line="4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符合</w:t>
            </w:r>
          </w:p>
          <w:p>
            <w:pPr>
              <w:spacing w:line="44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160" w:type="dxa"/>
            <w:vAlign w:val="top"/>
          </w:tcPr>
          <w:p>
            <w:pPr>
              <w:spacing w:line="400" w:lineRule="exact"/>
              <w:rPr>
                <w:rFonts w:ascii="宋体" w:hAnsi="宋体"/>
                <w:color w:val="auto"/>
                <w:szCs w:val="21"/>
              </w:rPr>
            </w:pPr>
            <w:r>
              <w:rPr>
                <w:rFonts w:hint="eastAsia" w:ascii="宋体" w:hAnsi="宋体"/>
                <w:color w:val="auto"/>
                <w:szCs w:val="21"/>
              </w:rPr>
              <w:t>管理评审：</w:t>
            </w:r>
          </w:p>
          <w:p>
            <w:pPr>
              <w:spacing w:line="400" w:lineRule="exact"/>
              <w:rPr>
                <w:rFonts w:ascii="宋体" w:hAnsi="宋体"/>
                <w:color w:val="auto"/>
                <w:szCs w:val="21"/>
              </w:rPr>
            </w:pPr>
          </w:p>
          <w:p>
            <w:pPr>
              <w:spacing w:line="400" w:lineRule="exact"/>
              <w:rPr>
                <w:rFonts w:hint="eastAsia" w:asciiTheme="minorEastAsia" w:hAnsiTheme="minorEastAsia" w:eastAsiaTheme="minorEastAsia" w:cstheme="minorEastAsia"/>
                <w:color w:val="auto"/>
                <w:sz w:val="21"/>
                <w:szCs w:val="21"/>
              </w:rPr>
            </w:pPr>
          </w:p>
        </w:tc>
        <w:tc>
          <w:tcPr>
            <w:tcW w:w="960" w:type="dxa"/>
            <w:vAlign w:val="top"/>
          </w:tcPr>
          <w:p>
            <w:pPr>
              <w:adjustRightInd w:val="0"/>
              <w:snapToGrid w:val="0"/>
              <w:rPr>
                <w:rFonts w:hint="default" w:ascii="宋体" w:hAnsi="宋体" w:cs="宋体"/>
                <w:color w:val="auto"/>
                <w:szCs w:val="21"/>
                <w:lang w:val="en-US"/>
              </w:rPr>
            </w:pPr>
            <w:r>
              <w:rPr>
                <w:rFonts w:hint="eastAsia" w:ascii="宋体" w:hAnsi="宋体"/>
                <w:color w:val="auto"/>
                <w:szCs w:val="21"/>
                <w:lang w:val="en-US" w:eastAsia="zh-CN"/>
              </w:rPr>
              <w:t>Q/E/S:</w:t>
            </w:r>
            <w:r>
              <w:rPr>
                <w:rFonts w:hint="eastAsia" w:ascii="宋体" w:hAnsi="宋体" w:cs="宋体"/>
                <w:color w:val="auto"/>
                <w:szCs w:val="21"/>
                <w:lang w:val="en-US" w:eastAsia="zh-CN"/>
              </w:rPr>
              <w:t>9.3</w:t>
            </w:r>
          </w:p>
          <w:p>
            <w:pPr>
              <w:spacing w:line="440" w:lineRule="exact"/>
              <w:jc w:val="center"/>
              <w:rPr>
                <w:rFonts w:hint="eastAsia" w:asciiTheme="minorEastAsia" w:hAnsiTheme="minorEastAsia" w:eastAsiaTheme="minorEastAsia" w:cstheme="minorEastAsia"/>
                <w:color w:val="auto"/>
                <w:sz w:val="21"/>
                <w:szCs w:val="21"/>
              </w:rPr>
            </w:pPr>
          </w:p>
        </w:tc>
        <w:tc>
          <w:tcPr>
            <w:tcW w:w="10961" w:type="dxa"/>
            <w:vAlign w:val="top"/>
          </w:tcPr>
          <w:p>
            <w:pPr>
              <w:spacing w:line="3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查见《管理评审计划》、《管理评审会议记录》</w:t>
            </w:r>
          </w:p>
          <w:p>
            <w:pPr>
              <w:spacing w:line="38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管理评审于</w:t>
            </w:r>
            <w:r>
              <w:rPr>
                <w:rFonts w:hint="eastAsia" w:asciiTheme="minorEastAsia" w:hAnsiTheme="minorEastAsia" w:eastAsiaTheme="minorEastAsia" w:cstheme="minorEastAsia"/>
                <w:b/>
                <w:bCs/>
                <w:color w:val="auto"/>
                <w:sz w:val="21"/>
                <w:szCs w:val="21"/>
              </w:rPr>
              <w:t>20</w:t>
            </w:r>
            <w:r>
              <w:rPr>
                <w:rFonts w:hint="eastAsia" w:asciiTheme="minorEastAsia" w:hAnsiTheme="minorEastAsia" w:eastAsiaTheme="minorEastAsia" w:cstheme="minorEastAsia"/>
                <w:b/>
                <w:bCs/>
                <w:color w:val="auto"/>
                <w:sz w:val="21"/>
                <w:szCs w:val="21"/>
                <w:lang w:val="en-US" w:eastAsia="zh-CN"/>
              </w:rPr>
              <w:t>20</w:t>
            </w:r>
            <w:r>
              <w:rPr>
                <w:rFonts w:hint="eastAsia" w:asciiTheme="minorEastAsia" w:hAnsiTheme="minorEastAsia" w:eastAsiaTheme="minorEastAsia" w:cstheme="minorEastAsia"/>
                <w:b/>
                <w:bCs/>
                <w:color w:val="auto"/>
                <w:sz w:val="21"/>
                <w:szCs w:val="21"/>
              </w:rPr>
              <w:t xml:space="preserve">年 </w:t>
            </w: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rPr>
              <w:t>月</w:t>
            </w:r>
            <w:r>
              <w:rPr>
                <w:rFonts w:hint="eastAsia" w:asciiTheme="minorEastAsia" w:hAnsiTheme="minorEastAsia" w:eastAsiaTheme="minorEastAsia" w:cstheme="minorEastAsia"/>
                <w:b/>
                <w:bCs/>
                <w:color w:val="auto"/>
                <w:sz w:val="21"/>
                <w:szCs w:val="21"/>
                <w:lang w:val="en-US" w:eastAsia="zh-CN"/>
              </w:rPr>
              <w:t>20</w:t>
            </w:r>
            <w:r>
              <w:rPr>
                <w:rFonts w:hint="eastAsia" w:asciiTheme="minorEastAsia" w:hAnsiTheme="minorEastAsia" w:eastAsiaTheme="minorEastAsia" w:cstheme="minorEastAsia"/>
                <w:b/>
                <w:bCs/>
                <w:color w:val="auto"/>
                <w:sz w:val="21"/>
                <w:szCs w:val="21"/>
              </w:rPr>
              <w:t>日</w:t>
            </w:r>
            <w:r>
              <w:rPr>
                <w:rFonts w:hint="eastAsia" w:asciiTheme="minorEastAsia" w:hAnsiTheme="minorEastAsia" w:eastAsiaTheme="minorEastAsia" w:cstheme="minorEastAsia"/>
                <w:color w:val="auto"/>
                <w:sz w:val="21"/>
                <w:szCs w:val="21"/>
              </w:rPr>
              <w:t>由</w:t>
            </w:r>
            <w:r>
              <w:rPr>
                <w:rFonts w:hint="eastAsia" w:asciiTheme="minorEastAsia" w:hAnsiTheme="minorEastAsia" w:eastAsiaTheme="minorEastAsia" w:cstheme="minorEastAsia"/>
                <w:color w:val="auto"/>
                <w:sz w:val="21"/>
                <w:szCs w:val="21"/>
                <w:lang w:val="en-US" w:eastAsia="zh-CN"/>
              </w:rPr>
              <w:t>总经理</w:t>
            </w:r>
            <w:r>
              <w:rPr>
                <w:rFonts w:hint="eastAsia" w:asciiTheme="minorEastAsia" w:hAnsiTheme="minorEastAsia" w:eastAsiaTheme="minorEastAsia" w:cstheme="minorEastAsia"/>
                <w:color w:val="auto"/>
                <w:sz w:val="21"/>
                <w:szCs w:val="21"/>
              </w:rPr>
              <w:t>主持完成。</w:t>
            </w:r>
          </w:p>
          <w:p>
            <w:pPr>
              <w:adjustRightInd w:val="0"/>
              <w:spacing w:line="400" w:lineRule="exact"/>
              <w:textAlignment w:val="baseline"/>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提供主要输入材料有：各部门总结，输入信息基本充分和满足要求。</w:t>
            </w:r>
          </w:p>
          <w:p>
            <w:pPr>
              <w:adjustRightInd w:val="0"/>
              <w:spacing w:line="400" w:lineRule="exac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输出见“管理评审报告”, 做出了管理体系基本适宜、充分和有效的评审结论。</w:t>
            </w:r>
          </w:p>
        </w:tc>
        <w:tc>
          <w:tcPr>
            <w:tcW w:w="628" w:type="dxa"/>
            <w:vAlign w:val="top"/>
          </w:tcPr>
          <w:p>
            <w:pPr>
              <w:spacing w:line="4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符合</w:t>
            </w:r>
          </w:p>
          <w:p>
            <w:pPr>
              <w:spacing w:line="440" w:lineRule="exact"/>
              <w:jc w:val="cente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rPr>
                <w:rFonts w:ascii="宋体" w:hAnsi="宋体"/>
                <w:color w:val="auto"/>
                <w:szCs w:val="21"/>
                <w:highlight w:val="none"/>
              </w:rPr>
            </w:pPr>
            <w:r>
              <w:rPr>
                <w:rFonts w:hint="eastAsia" w:ascii="宋体" w:hAnsi="宋体"/>
                <w:color w:val="auto"/>
                <w:szCs w:val="21"/>
                <w:highlight w:val="none"/>
              </w:rPr>
              <w:t>相关法规</w:t>
            </w:r>
          </w:p>
          <w:p>
            <w:pPr>
              <w:spacing w:line="400" w:lineRule="exact"/>
              <w:rPr>
                <w:rFonts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环评报告及环评验收</w:t>
            </w:r>
          </w:p>
          <w:p>
            <w:pPr>
              <w:spacing w:line="400" w:lineRule="exact"/>
              <w:rPr>
                <w:color w:val="auto"/>
                <w:szCs w:val="21"/>
                <w:highlight w:val="none"/>
              </w:rPr>
            </w:pPr>
            <w:r>
              <w:rPr>
                <w:rFonts w:hint="eastAsia"/>
                <w:color w:val="auto"/>
                <w:szCs w:val="21"/>
                <w:highlight w:val="none"/>
              </w:rPr>
              <w:t>安评报告及安评验收</w:t>
            </w:r>
          </w:p>
          <w:p>
            <w:pPr>
              <w:spacing w:line="400" w:lineRule="exact"/>
              <w:rPr>
                <w:rFonts w:hint="eastAsia"/>
                <w:color w:val="auto"/>
                <w:szCs w:val="21"/>
                <w:highlight w:val="none"/>
              </w:rPr>
            </w:pPr>
          </w:p>
          <w:p>
            <w:pPr>
              <w:spacing w:line="400" w:lineRule="exact"/>
              <w:rPr>
                <w:rFonts w:hint="eastAsia"/>
                <w:color w:val="auto"/>
                <w:szCs w:val="21"/>
                <w:highlight w:val="none"/>
              </w:rPr>
            </w:pPr>
            <w:r>
              <w:rPr>
                <w:rFonts w:hint="eastAsia"/>
                <w:color w:val="auto"/>
                <w:szCs w:val="21"/>
                <w:highlight w:val="none"/>
              </w:rPr>
              <w:t>执行的产品标准（QMS）</w:t>
            </w:r>
          </w:p>
          <w:p>
            <w:pPr>
              <w:spacing w:line="400" w:lineRule="exact"/>
              <w:rPr>
                <w:rFonts w:hint="eastAsia"/>
                <w:color w:val="auto"/>
                <w:szCs w:val="21"/>
                <w:highlight w:val="none"/>
              </w:rPr>
            </w:pPr>
            <w:r>
              <w:rPr>
                <w:rFonts w:hint="eastAsia"/>
                <w:color w:val="auto"/>
                <w:szCs w:val="21"/>
                <w:highlight w:val="none"/>
              </w:rPr>
              <w:t>执行的排污标准（EMS）</w:t>
            </w:r>
          </w:p>
          <w:p>
            <w:pPr>
              <w:spacing w:line="400" w:lineRule="exact"/>
              <w:rPr>
                <w:color w:val="auto"/>
                <w:szCs w:val="21"/>
                <w:highlight w:val="none"/>
              </w:rPr>
            </w:pPr>
            <w:r>
              <w:rPr>
                <w:rFonts w:hint="eastAsia"/>
                <w:color w:val="auto"/>
                <w:szCs w:val="21"/>
                <w:highlight w:val="none"/>
              </w:rPr>
              <w:t>执行的安全法规（OHSMS）</w:t>
            </w:r>
          </w:p>
          <w:p>
            <w:pPr>
              <w:spacing w:line="400" w:lineRule="exact"/>
              <w:rPr>
                <w:rFonts w:hint="eastAsia"/>
                <w:color w:val="auto"/>
                <w:szCs w:val="21"/>
                <w:highlight w:val="none"/>
              </w:rPr>
            </w:pPr>
          </w:p>
          <w:p>
            <w:pPr>
              <w:spacing w:line="400" w:lineRule="exact"/>
              <w:rPr>
                <w:rFonts w:hint="eastAsia"/>
                <w:color w:val="auto"/>
                <w:szCs w:val="21"/>
                <w:highlight w:val="none"/>
              </w:rPr>
            </w:pPr>
            <w:r>
              <w:rPr>
                <w:rFonts w:hint="eastAsia"/>
                <w:color w:val="auto"/>
                <w:szCs w:val="21"/>
                <w:highlight w:val="none"/>
              </w:rPr>
              <w:t xml:space="preserve">合规性评价报告 </w:t>
            </w:r>
          </w:p>
          <w:p>
            <w:pPr>
              <w:spacing w:line="400" w:lineRule="exact"/>
              <w:rPr>
                <w:rFonts w:hint="eastAsia"/>
                <w:color w:val="auto"/>
                <w:szCs w:val="21"/>
                <w:highlight w:val="none"/>
              </w:rPr>
            </w:pPr>
            <w:r>
              <w:rPr>
                <w:rFonts w:hint="eastAsia"/>
                <w:color w:val="auto"/>
                <w:szCs w:val="21"/>
                <w:highlight w:val="none"/>
              </w:rPr>
              <w:t>环境相关监测报告（EMS）</w:t>
            </w:r>
          </w:p>
          <w:p>
            <w:pPr>
              <w:spacing w:line="400" w:lineRule="exact"/>
              <w:rPr>
                <w:rFonts w:hint="eastAsia"/>
                <w:color w:val="auto"/>
                <w:szCs w:val="21"/>
                <w:highlight w:val="none"/>
              </w:rPr>
            </w:pPr>
            <w:r>
              <w:rPr>
                <w:rFonts w:hint="eastAsia"/>
                <w:color w:val="auto"/>
                <w:szCs w:val="21"/>
                <w:highlight w:val="none"/>
              </w:rPr>
              <w:t>职业健康相关监测报告（OHSMS）</w:t>
            </w:r>
          </w:p>
          <w:p>
            <w:pPr>
              <w:spacing w:line="400" w:lineRule="exact"/>
              <w:rPr>
                <w:rFonts w:hint="eastAsia" w:asciiTheme="minorEastAsia" w:hAnsiTheme="minorEastAsia" w:eastAsiaTheme="minorEastAsia" w:cstheme="minorEastAsia"/>
                <w:color w:val="auto"/>
                <w:sz w:val="21"/>
                <w:szCs w:val="21"/>
              </w:rPr>
            </w:pPr>
            <w:r>
              <w:rPr>
                <w:rFonts w:hint="eastAsia"/>
                <w:color w:val="auto"/>
                <w:szCs w:val="21"/>
                <w:highlight w:val="none"/>
              </w:rPr>
              <w:t>产品质量监督抽查情况（QMS）</w:t>
            </w:r>
          </w:p>
        </w:tc>
        <w:tc>
          <w:tcPr>
            <w:tcW w:w="960" w:type="dxa"/>
            <w:vAlign w:val="top"/>
          </w:tcPr>
          <w:p>
            <w:pPr>
              <w:spacing w:line="440" w:lineRule="exact"/>
              <w:jc w:val="center"/>
              <w:rPr>
                <w:rFonts w:hint="eastAsia" w:asciiTheme="minorEastAsia" w:hAnsiTheme="minorEastAsia" w:eastAsiaTheme="minorEastAsia" w:cstheme="minorEastAsia"/>
                <w:color w:val="auto"/>
                <w:sz w:val="21"/>
                <w:szCs w:val="21"/>
              </w:rPr>
            </w:pPr>
          </w:p>
        </w:tc>
        <w:tc>
          <w:tcPr>
            <w:tcW w:w="10961" w:type="dxa"/>
            <w:vAlign w:val="top"/>
          </w:tcPr>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中华人民共和国合同法、中华人民共和国劳动法、中华人民共和国安全消防法、中华人民共和国产品质量法、中华人民共和国安全生产法</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环境保护条例、</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消防条例、</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安全生产条例、</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重大危险源监督管理规定、</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工伤保险实施办法等</w:t>
            </w:r>
          </w:p>
          <w:p>
            <w:pPr>
              <w:spacing w:line="400" w:lineRule="exact"/>
              <w:rPr>
                <w:rFonts w:hint="eastAsia" w:asciiTheme="minorEastAsia" w:hAnsiTheme="minorEastAsia" w:eastAsiaTheme="minorEastAsia" w:cstheme="minorEastAsia"/>
                <w:color w:val="auto"/>
                <w:sz w:val="21"/>
                <w:szCs w:val="21"/>
              </w:rPr>
            </w:pP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不适用</w:t>
            </w: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不适用</w:t>
            </w:r>
          </w:p>
          <w:p>
            <w:pPr>
              <w:spacing w:line="400" w:lineRule="exact"/>
              <w:rPr>
                <w:rFonts w:hint="eastAsia" w:asciiTheme="minorEastAsia" w:hAnsiTheme="minorEastAsia" w:eastAsiaTheme="minorEastAsia" w:cstheme="minorEastAsia"/>
                <w:color w:val="auto"/>
                <w:sz w:val="21"/>
                <w:szCs w:val="21"/>
              </w:rPr>
            </w:pPr>
          </w:p>
          <w:p>
            <w:pPr>
              <w:pStyle w:val="2"/>
              <w:rPr>
                <w:rFonts w:hint="eastAsia" w:ascii="宋体" w:hAnsi="宋体" w:cs="宋体"/>
                <w:color w:val="auto"/>
                <w:sz w:val="21"/>
                <w:szCs w:val="21"/>
                <w:lang w:val="en-US" w:eastAsia="zh-CN"/>
              </w:rPr>
            </w:pPr>
            <w:r>
              <w:rPr>
                <w:rFonts w:hint="eastAsia" w:asciiTheme="minorEastAsia" w:hAnsiTheme="minorEastAsia" w:eastAsiaTheme="minorEastAsia" w:cstheme="minorEastAsia"/>
                <w:color w:val="auto"/>
                <w:sz w:val="21"/>
                <w:szCs w:val="21"/>
                <w:highlight w:val="none"/>
              </w:rPr>
              <w:t>产品执行标准:</w:t>
            </w:r>
            <w:r>
              <w:rPr>
                <w:rFonts w:hint="eastAsia" w:ascii="宋体" w:hAnsi="宋体" w:cs="宋体"/>
                <w:color w:val="auto"/>
                <w:sz w:val="21"/>
                <w:szCs w:val="21"/>
                <w:lang w:val="en-US" w:eastAsia="zh-CN"/>
              </w:rPr>
              <w:t xml:space="preserve">GB 29047-2012 高密度聚乙烯外护管硬质聚氨酯泡沫塑料预制直埋保温管及管件 </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GB/T18742.3-2002 冷热水用聚丙烯管道系统管件</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GB/T 13663-2000 给水用聚乙烯（PE）管材</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CJ/T155-2001高密度聚乙烯外护管聚氨酯硬质泡沫塑料预制直埋保温管件</w:t>
            </w:r>
          </w:p>
          <w:p>
            <w:pPr>
              <w:pStyle w:val="2"/>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等；</w:t>
            </w:r>
          </w:p>
          <w:p>
            <w:pPr>
              <w:widowControl/>
              <w:spacing w:line="40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污水排入城镇下水道水质标准（GB/T 31962-2015）、大气污染物综合排放标准（GB 16297-1996）</w:t>
            </w:r>
            <w:r>
              <w:rPr>
                <w:rFonts w:hint="eastAsia" w:asciiTheme="minorEastAsia" w:hAnsiTheme="minorEastAsia" w:eastAsiaTheme="minorEastAsia" w:cstheme="minorEastAsia"/>
                <w:color w:val="auto"/>
                <w:sz w:val="21"/>
                <w:szCs w:val="21"/>
                <w:highlight w:val="none"/>
                <w:lang w:val="en-US" w:eastAsia="zh-CN"/>
              </w:rPr>
              <w:t>等。</w:t>
            </w:r>
          </w:p>
          <w:p>
            <w:pPr>
              <w:spacing w:line="400" w:lineRule="exact"/>
              <w:rPr>
                <w:rFonts w:hint="eastAsia" w:ascii="宋体" w:hAnsi="宋体" w:cs="宋体"/>
                <w:color w:val="auto"/>
                <w:szCs w:val="21"/>
                <w:highlight w:val="none"/>
              </w:rPr>
            </w:pPr>
            <w:r>
              <w:rPr>
                <w:rFonts w:hint="eastAsia" w:ascii="宋体" w:hAnsi="宋体"/>
                <w:color w:val="auto"/>
                <w:szCs w:val="21"/>
                <w:highlight w:val="none"/>
              </w:rPr>
              <w:t>中华人民共和国安全消防法、中华人民共和国劳动合同法、</w:t>
            </w:r>
            <w:r>
              <w:rPr>
                <w:rFonts w:hint="eastAsia" w:ascii="宋体" w:hAnsi="宋体" w:cs="宋体"/>
                <w:color w:val="auto"/>
                <w:szCs w:val="21"/>
                <w:highlight w:val="none"/>
              </w:rPr>
              <w:t>中华人民共和国安全生产法等</w:t>
            </w:r>
          </w:p>
          <w:p>
            <w:pPr>
              <w:spacing w:line="400" w:lineRule="exact"/>
              <w:rPr>
                <w:rFonts w:hint="eastAsia" w:ascii="宋体" w:hAnsi="宋体" w:cs="宋体"/>
                <w:color w:val="auto"/>
                <w:szCs w:val="21"/>
                <w:highlight w:val="none"/>
              </w:rPr>
            </w:pP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日进行了合规性评价</w:t>
            </w:r>
          </w:p>
          <w:p>
            <w:pPr>
              <w:spacing w:line="400" w:lineRule="exact"/>
              <w:rPr>
                <w:rFonts w:hint="eastAsia" w:asciiTheme="minorEastAsia" w:hAnsiTheme="minorEastAsia" w:eastAsiaTheme="minorEastAsia" w:cstheme="minorEastAsia"/>
                <w:color w:val="auto"/>
                <w:sz w:val="21"/>
                <w:szCs w:val="21"/>
              </w:rPr>
            </w:pPr>
          </w:p>
          <w:p>
            <w:pPr>
              <w:spacing w:line="4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不适用</w:t>
            </w:r>
          </w:p>
          <w:p>
            <w:pPr>
              <w:spacing w:line="400" w:lineRule="exact"/>
              <w:rPr>
                <w:rFonts w:hint="eastAsia" w:asciiTheme="minorEastAsia" w:hAnsiTheme="minorEastAsia" w:eastAsiaTheme="minorEastAsia" w:cstheme="minorEastAsia"/>
                <w:color w:val="auto"/>
                <w:sz w:val="21"/>
                <w:szCs w:val="21"/>
                <w:lang w:val="en-US" w:eastAsia="zh-CN"/>
              </w:rPr>
            </w:pPr>
          </w:p>
          <w:p>
            <w:pPr>
              <w:spacing w:line="400" w:lineRule="exac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员工体检等</w:t>
            </w:r>
          </w:p>
          <w:p>
            <w:pPr>
              <w:spacing w:line="400" w:lineRule="exact"/>
              <w:rPr>
                <w:rFonts w:hint="eastAsia" w:asciiTheme="minorEastAsia" w:hAnsiTheme="minorEastAsia" w:eastAsiaTheme="minorEastAsia" w:cstheme="minorEastAsia"/>
                <w:color w:val="auto"/>
                <w:sz w:val="21"/>
                <w:szCs w:val="21"/>
                <w:lang w:val="en-US" w:eastAsia="zh-CN"/>
              </w:rPr>
            </w:pP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w:t>
            </w:r>
          </w:p>
        </w:tc>
        <w:tc>
          <w:tcPr>
            <w:tcW w:w="628" w:type="dxa"/>
            <w:vAlign w:val="top"/>
          </w:tcPr>
          <w:p>
            <w:pPr>
              <w:spacing w:line="4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符合</w:t>
            </w:r>
          </w:p>
          <w:p>
            <w:pPr>
              <w:spacing w:line="440" w:lineRule="exact"/>
              <w:jc w:val="cente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rPr>
                <w:rFonts w:ascii="宋体" w:hAnsi="宋体"/>
                <w:color w:val="auto"/>
                <w:szCs w:val="21"/>
                <w:highlight w:val="none"/>
              </w:rPr>
            </w:pPr>
            <w:r>
              <w:rPr>
                <w:rFonts w:hint="eastAsia" w:ascii="宋体" w:hAnsi="宋体"/>
                <w:color w:val="auto"/>
                <w:szCs w:val="21"/>
                <w:highlight w:val="none"/>
              </w:rPr>
              <w:t>工艺流程</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hint="eastAsia" w:ascii="宋体" w:hAnsi="宋体"/>
                <w:color w:val="auto"/>
                <w:szCs w:val="21"/>
                <w:highlight w:val="none"/>
              </w:rPr>
            </w:pPr>
            <w:r>
              <w:rPr>
                <w:rFonts w:hint="eastAsia" w:ascii="宋体" w:hAnsi="宋体"/>
                <w:color w:val="auto"/>
                <w:szCs w:val="21"/>
                <w:highlight w:val="none"/>
              </w:rPr>
              <w:t>不适用条款的确认</w:t>
            </w:r>
          </w:p>
          <w:p>
            <w:pPr>
              <w:pStyle w:val="2"/>
              <w:rPr>
                <w:rFonts w:hint="eastAsia"/>
              </w:rPr>
            </w:pPr>
          </w:p>
          <w:p>
            <w:pPr>
              <w:spacing w:line="400" w:lineRule="exact"/>
              <w:rPr>
                <w:rFonts w:hint="eastAsia" w:ascii="宋体" w:hAnsi="宋体"/>
                <w:color w:val="auto"/>
                <w:szCs w:val="21"/>
                <w:highlight w:val="none"/>
              </w:rPr>
            </w:pPr>
            <w:r>
              <w:rPr>
                <w:rFonts w:hint="eastAsia" w:ascii="宋体" w:hAnsi="宋体"/>
                <w:color w:val="auto"/>
                <w:szCs w:val="21"/>
                <w:highlight w:val="none"/>
              </w:rPr>
              <w:t>外包的识别</w:t>
            </w:r>
          </w:p>
          <w:p>
            <w:pPr>
              <w:pStyle w:val="2"/>
            </w:pPr>
          </w:p>
          <w:p>
            <w:pPr>
              <w:spacing w:line="400" w:lineRule="exact"/>
              <w:rPr>
                <w:rFonts w:hint="eastAsia" w:ascii="宋体" w:hAnsi="宋体"/>
                <w:color w:val="auto"/>
                <w:szCs w:val="21"/>
                <w:highlight w:val="none"/>
              </w:rPr>
            </w:pPr>
            <w:r>
              <w:rPr>
                <w:rFonts w:hint="eastAsia" w:ascii="宋体" w:hAnsi="宋体"/>
                <w:color w:val="auto"/>
                <w:szCs w:val="21"/>
                <w:highlight w:val="none"/>
              </w:rPr>
              <w:t>重要环境因素（EMS）</w:t>
            </w:r>
          </w:p>
          <w:p>
            <w:pPr>
              <w:spacing w:line="400" w:lineRule="exact"/>
              <w:rPr>
                <w:rFonts w:hint="eastAsia"/>
                <w:color w:val="auto"/>
                <w:szCs w:val="21"/>
                <w:highlight w:val="none"/>
                <w:lang w:eastAsia="zh-CN"/>
              </w:rPr>
            </w:pPr>
            <w:r>
              <w:rPr>
                <w:rFonts w:hint="eastAsia"/>
                <w:color w:val="auto"/>
                <w:szCs w:val="21"/>
                <w:highlight w:val="none"/>
              </w:rPr>
              <w:t>不可接受风险（OHSMS</w:t>
            </w:r>
            <w:r>
              <w:rPr>
                <w:rFonts w:hint="eastAsia"/>
                <w:color w:val="auto"/>
                <w:szCs w:val="21"/>
                <w:highlight w:val="none"/>
                <w:lang w:eastAsia="zh-CN"/>
              </w:rPr>
              <w:t>）</w:t>
            </w:r>
          </w:p>
          <w:p>
            <w:pPr>
              <w:spacing w:line="400" w:lineRule="exact"/>
              <w:rPr>
                <w:rFonts w:hint="eastAsia"/>
                <w:color w:val="auto"/>
                <w:szCs w:val="21"/>
                <w:highlight w:val="none"/>
                <w:lang w:eastAsia="zh-CN"/>
              </w:rPr>
            </w:pPr>
          </w:p>
          <w:p>
            <w:pPr>
              <w:spacing w:line="400" w:lineRule="exact"/>
              <w:rPr>
                <w:rFonts w:hint="eastAsia" w:asciiTheme="minorEastAsia" w:hAnsiTheme="minorEastAsia" w:eastAsiaTheme="minorEastAsia" w:cstheme="minorEastAsia"/>
                <w:color w:val="auto"/>
                <w:sz w:val="21"/>
                <w:szCs w:val="21"/>
              </w:rPr>
            </w:pPr>
            <w:r>
              <w:rPr>
                <w:rFonts w:hint="eastAsia"/>
                <w:color w:val="auto"/>
                <w:szCs w:val="21"/>
                <w:highlight w:val="none"/>
                <w:lang w:eastAsia="zh-CN"/>
              </w:rPr>
              <w:t>应急管理</w:t>
            </w:r>
          </w:p>
        </w:tc>
        <w:tc>
          <w:tcPr>
            <w:tcW w:w="960" w:type="dxa"/>
            <w:vAlign w:val="top"/>
          </w:tcPr>
          <w:p>
            <w:pPr>
              <w:adjustRightInd w:val="0"/>
              <w:snapToGrid w:val="0"/>
              <w:rPr>
                <w:rFonts w:hint="eastAsia" w:asciiTheme="minorEastAsia" w:hAnsiTheme="minorEastAsia" w:eastAsiaTheme="minorEastAsia" w:cstheme="minorEastAsia"/>
                <w:color w:val="auto"/>
                <w:sz w:val="21"/>
                <w:szCs w:val="21"/>
              </w:rPr>
            </w:pPr>
          </w:p>
        </w:tc>
        <w:tc>
          <w:tcPr>
            <w:tcW w:w="10961" w:type="dxa"/>
            <w:vAlign w:val="top"/>
          </w:tcPr>
          <w:p>
            <w:pPr>
              <w:spacing w:line="4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销售流程图</w:t>
            </w:r>
          </w:p>
          <w:p>
            <w:pPr>
              <w:spacing w:line="4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确定顾客群体------商务洽谈------签订合同-----采购产品---产品交付---售后服务</w:t>
            </w:r>
          </w:p>
          <w:p>
            <w:pPr>
              <w:pStyle w:val="2"/>
              <w:rPr>
                <w:rFonts w:hint="eastAsia" w:ascii="宋体" w:hAnsi="宋体"/>
                <w:color w:val="auto"/>
                <w:szCs w:val="21"/>
                <w:highlight w:val="none"/>
              </w:rPr>
            </w:pPr>
            <w:r>
              <w:rPr>
                <w:rFonts w:hint="eastAsia" w:asciiTheme="minorEastAsia" w:hAnsiTheme="minorEastAsia" w:eastAsiaTheme="minorEastAsia" w:cstheme="minorEastAsia"/>
                <w:color w:val="auto"/>
                <w:sz w:val="21"/>
                <w:szCs w:val="21"/>
                <w:lang w:val="en-US" w:eastAsia="zh-CN"/>
              </w:rPr>
              <w:t>特殊过程：销售服务，  有服务过程确认。</w:t>
            </w:r>
          </w:p>
          <w:p>
            <w:pPr>
              <w:adjustRightInd w:val="0"/>
              <w:spacing w:line="300" w:lineRule="auto"/>
              <w:textAlignment w:val="baseline"/>
              <w:rPr>
                <w:rFonts w:hint="eastAsia"/>
                <w:color w:val="auto"/>
                <w:sz w:val="21"/>
                <w:szCs w:val="21"/>
              </w:rPr>
            </w:pPr>
            <w:r>
              <w:rPr>
                <w:rFonts w:hint="eastAsia" w:ascii="宋体" w:hAnsi="宋体"/>
                <w:color w:val="auto"/>
                <w:szCs w:val="21"/>
                <w:highlight w:val="none"/>
                <w:lang w:val="en-US" w:eastAsia="zh-CN"/>
              </w:rPr>
              <w:t>Q8.3条款，理由：</w:t>
            </w:r>
            <w:r>
              <w:rPr>
                <w:rFonts w:hint="eastAsia" w:ascii="宋体" w:hAnsi="宋体" w:cs="Times New Roman"/>
                <w:color w:val="auto"/>
                <w:sz w:val="21"/>
                <w:szCs w:val="21"/>
                <w:u w:val="none"/>
              </w:rPr>
              <w:t>公司</w:t>
            </w:r>
            <w:r>
              <w:rPr>
                <w:rFonts w:hint="eastAsia" w:ascii="宋体" w:hAnsi="宋体" w:cs="Times New Roman"/>
                <w:color w:val="auto"/>
                <w:sz w:val="21"/>
                <w:szCs w:val="21"/>
                <w:u w:val="none"/>
                <w:lang w:eastAsia="zh-CN"/>
              </w:rPr>
              <w:t>的产品销售</w:t>
            </w:r>
            <w:r>
              <w:rPr>
                <w:rFonts w:hint="eastAsia" w:ascii="宋体" w:hAnsi="宋体" w:cs="Times New Roman"/>
                <w:color w:val="auto"/>
                <w:sz w:val="21"/>
                <w:szCs w:val="21"/>
                <w:u w:val="none"/>
              </w:rPr>
              <w:t>,</w:t>
            </w:r>
            <w:r>
              <w:rPr>
                <w:rFonts w:hint="eastAsia" w:ascii="宋体" w:hAnsi="宋体" w:cs="Times New Roman"/>
                <w:color w:val="auto"/>
                <w:sz w:val="21"/>
                <w:szCs w:val="21"/>
                <w:u w:val="none"/>
                <w:lang w:eastAsia="zh-CN"/>
              </w:rPr>
              <w:t>根据常规的销售模式进行，</w:t>
            </w:r>
            <w:r>
              <w:rPr>
                <w:rFonts w:hint="eastAsia" w:ascii="宋体" w:hAnsi="宋体" w:cs="Times New Roman"/>
                <w:color w:val="auto"/>
                <w:sz w:val="21"/>
                <w:szCs w:val="21"/>
                <w:u w:val="none"/>
              </w:rPr>
              <w:t>因此标准8.3条款“产品和服务的设计和开发”要求不适用。</w:t>
            </w:r>
          </w:p>
          <w:p>
            <w:pPr>
              <w:adjustRightInd w:val="0"/>
              <w:spacing w:line="300" w:lineRule="auto"/>
              <w:textAlignment w:val="baseline"/>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货物运输外包，已见运输协议。</w:t>
            </w:r>
          </w:p>
          <w:p>
            <w:pPr>
              <w:adjustRightInd w:val="0"/>
              <w:spacing w:line="300" w:lineRule="auto"/>
              <w:textAlignment w:val="baseline"/>
              <w:rPr>
                <w:rFonts w:hint="eastAsia" w:ascii="宋体" w:hAnsi="宋体"/>
                <w:color w:val="auto"/>
                <w:szCs w:val="21"/>
                <w:highlight w:val="none"/>
                <w:lang w:val="en-US" w:eastAsia="zh-CN"/>
              </w:rPr>
            </w:pPr>
            <w:r>
              <w:rPr>
                <w:rFonts w:hint="eastAsia" w:ascii="宋体" w:hAnsi="宋体"/>
                <w:color w:val="auto"/>
                <w:szCs w:val="21"/>
                <w:highlight w:val="none"/>
              </w:rPr>
              <w:t>潜在</w:t>
            </w:r>
            <w:r>
              <w:rPr>
                <w:rFonts w:hint="eastAsia" w:ascii="宋体" w:hAnsi="宋体"/>
                <w:color w:val="auto"/>
                <w:szCs w:val="21"/>
                <w:highlight w:val="none"/>
                <w:lang w:val="en-US" w:eastAsia="zh-CN"/>
              </w:rPr>
              <w:t>火灾。</w:t>
            </w:r>
          </w:p>
          <w:p>
            <w:pPr>
              <w:adjustRightInd w:val="0"/>
              <w:spacing w:line="300" w:lineRule="auto"/>
              <w:textAlignment w:val="baseline"/>
              <w:rPr>
                <w:rFonts w:hint="eastAsia" w:ascii="宋体" w:hAnsi="宋体" w:cs="Times New Roman"/>
                <w:color w:val="auto"/>
                <w:szCs w:val="21"/>
                <w:highlight w:val="none"/>
              </w:rPr>
            </w:pPr>
            <w:r>
              <w:rPr>
                <w:rFonts w:hint="eastAsia" w:ascii="宋体" w:hAnsi="宋体"/>
                <w:color w:val="auto"/>
                <w:szCs w:val="21"/>
                <w:highlight w:val="none"/>
                <w:lang w:val="en-US" w:eastAsia="zh-CN"/>
              </w:rPr>
              <w:t>火灾、触电、交</w:t>
            </w:r>
            <w:r>
              <w:rPr>
                <w:rFonts w:hint="eastAsia" w:ascii="宋体"/>
                <w:color w:val="auto"/>
                <w:sz w:val="20"/>
                <w:szCs w:val="20"/>
                <w:lang w:val="en-US" w:eastAsia="zh-CN"/>
              </w:rPr>
              <w:t>通事</w:t>
            </w:r>
            <w:r>
              <w:rPr>
                <w:rFonts w:hint="eastAsia" w:ascii="宋体" w:hAnsi="宋体"/>
                <w:color w:val="auto"/>
                <w:szCs w:val="21"/>
                <w:highlight w:val="none"/>
                <w:lang w:val="en-US" w:eastAsia="zh-CN"/>
              </w:rPr>
              <w:t>故。</w:t>
            </w:r>
          </w:p>
          <w:p>
            <w:pPr>
              <w:adjustRightInd w:val="0"/>
              <w:spacing w:line="300" w:lineRule="auto"/>
              <w:textAlignment w:val="baseline"/>
              <w:rPr>
                <w:rFonts w:hint="eastAsia" w:ascii="宋体" w:hAnsi="宋体" w:cs="Times New Roman"/>
                <w:color w:val="auto"/>
                <w:szCs w:val="21"/>
                <w:highlight w:val="none"/>
              </w:rPr>
            </w:pP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有《应急准备和响应控制程序》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触电预案</w:t>
            </w:r>
            <w:r>
              <w:rPr>
                <w:rFonts w:hint="eastAsia" w:asciiTheme="minorEastAsia" w:hAnsiTheme="minorEastAsia" w:eastAsiaTheme="minorEastAsia" w:cstheme="minorEastAsia"/>
                <w:color w:val="auto"/>
                <w:sz w:val="21"/>
                <w:szCs w:val="21"/>
                <w:lang w:eastAsia="zh-CN"/>
              </w:rPr>
              <w:t>》、《火警紧急预案》、《</w:t>
            </w:r>
            <w:r>
              <w:rPr>
                <w:rFonts w:hint="eastAsia" w:asciiTheme="minorEastAsia" w:hAnsiTheme="minorEastAsia" w:eastAsiaTheme="minorEastAsia" w:cstheme="minorEastAsia"/>
                <w:color w:val="auto"/>
                <w:sz w:val="21"/>
                <w:szCs w:val="21"/>
                <w:lang w:val="en-US" w:eastAsia="zh-CN"/>
              </w:rPr>
              <w:t>意外伤害预案</w:t>
            </w:r>
            <w:r>
              <w:rPr>
                <w:rFonts w:hint="eastAsia" w:asciiTheme="minorEastAsia" w:hAnsiTheme="minorEastAsia" w:eastAsiaTheme="minorEastAsia" w:cstheme="minorEastAsia"/>
                <w:color w:val="auto"/>
                <w:sz w:val="21"/>
                <w:szCs w:val="21"/>
                <w:lang w:eastAsia="zh-CN"/>
              </w:rPr>
              <w:t>》、《疫情防控预案》</w:t>
            </w:r>
            <w:r>
              <w:rPr>
                <w:rFonts w:hint="eastAsia" w:asciiTheme="minorEastAsia" w:hAnsiTheme="minorEastAsia" w:eastAsiaTheme="minorEastAsia" w:cstheme="minorEastAsia"/>
                <w:color w:val="auto"/>
                <w:sz w:val="21"/>
                <w:szCs w:val="21"/>
                <w:lang w:val="en-US" w:eastAsia="zh-CN"/>
              </w:rPr>
              <w:t>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近一年没有发生火灾或未遂事件</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查</w:t>
            </w:r>
            <w:r>
              <w:rPr>
                <w:rFonts w:hint="eastAsia" w:asciiTheme="minorEastAsia" w:hAnsiTheme="minorEastAsia" w:eastAsiaTheme="minorEastAsia" w:cstheme="minorEastAsia"/>
                <w:color w:val="auto"/>
                <w:sz w:val="21"/>
                <w:szCs w:val="21"/>
              </w:rPr>
              <w:t>《消防应急演练》；于20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进行了火灾演练，</w:t>
            </w:r>
            <w:r>
              <w:rPr>
                <w:rFonts w:hint="eastAsia" w:asciiTheme="minorEastAsia" w:hAnsiTheme="minorEastAsia" w:eastAsiaTheme="minorEastAsia" w:cstheme="minorEastAsia"/>
                <w:color w:val="auto"/>
                <w:sz w:val="21"/>
                <w:szCs w:val="21"/>
                <w:lang w:val="en-US" w:eastAsia="zh-CN"/>
              </w:rPr>
              <w:t>全体人员</w:t>
            </w:r>
            <w:r>
              <w:rPr>
                <w:rFonts w:hint="eastAsia" w:asciiTheme="minorEastAsia" w:hAnsiTheme="minorEastAsia" w:eastAsiaTheme="minorEastAsia" w:cstheme="minorEastAsia"/>
                <w:color w:val="auto"/>
                <w:sz w:val="21"/>
                <w:szCs w:val="21"/>
              </w:rPr>
              <w:t>参加；有《演练记录》总结</w:t>
            </w:r>
            <w:r>
              <w:rPr>
                <w:rFonts w:hint="eastAsia" w:asciiTheme="minorEastAsia" w:hAnsiTheme="minorEastAsia" w:eastAsiaTheme="minorEastAsia" w:cstheme="minorEastAsia"/>
                <w:color w:val="auto"/>
                <w:sz w:val="21"/>
                <w:szCs w:val="21"/>
                <w:lang w:eastAsia="zh-CN"/>
              </w:rPr>
              <w:t>，</w:t>
            </w: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预案基本合理，不需要修订。</w:t>
            </w:r>
          </w:p>
        </w:tc>
        <w:tc>
          <w:tcPr>
            <w:tcW w:w="628" w:type="dxa"/>
            <w:vAlign w:val="top"/>
          </w:tcPr>
          <w:p>
            <w:pPr>
              <w:spacing w:line="4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符合</w:t>
            </w:r>
          </w:p>
          <w:p>
            <w:pPr>
              <w:spacing w:line="440" w:lineRule="exact"/>
              <w:jc w:val="cente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top"/>
          </w:tcPr>
          <w:p>
            <w:pPr>
              <w:spacing w:line="400" w:lineRule="exact"/>
              <w:rPr>
                <w:rFonts w:hint="eastAsia" w:ascii="宋体" w:hAnsi="宋体"/>
                <w:color w:val="auto"/>
                <w:szCs w:val="21"/>
                <w:highlight w:val="none"/>
              </w:rPr>
            </w:pPr>
            <w:r>
              <w:rPr>
                <w:rFonts w:hint="eastAsia" w:ascii="宋体" w:hAnsi="宋体"/>
                <w:color w:val="auto"/>
                <w:szCs w:val="21"/>
                <w:highlight w:val="none"/>
              </w:rPr>
              <w:t>设计开发产品或项目名称</w:t>
            </w:r>
          </w:p>
          <w:p>
            <w:pPr>
              <w:spacing w:line="400" w:lineRule="exact"/>
              <w:rPr>
                <w:rFonts w:hint="eastAsia" w:asciiTheme="minorEastAsia" w:hAnsiTheme="minorEastAsia" w:eastAsiaTheme="minorEastAsia" w:cstheme="minorEastAsia"/>
                <w:color w:val="auto"/>
                <w:sz w:val="21"/>
                <w:szCs w:val="21"/>
              </w:rPr>
            </w:pPr>
            <w:r>
              <w:rPr>
                <w:rFonts w:hint="eastAsia" w:ascii="宋体" w:hAnsi="宋体"/>
                <w:color w:val="auto"/>
                <w:szCs w:val="21"/>
                <w:highlight w:val="none"/>
              </w:rPr>
              <w:t>主要原材料</w:t>
            </w:r>
          </w:p>
        </w:tc>
        <w:tc>
          <w:tcPr>
            <w:tcW w:w="960" w:type="dxa"/>
            <w:vAlign w:val="top"/>
          </w:tcPr>
          <w:p>
            <w:pPr>
              <w:spacing w:line="440" w:lineRule="exact"/>
              <w:jc w:val="left"/>
              <w:rPr>
                <w:rFonts w:hint="eastAsia" w:asciiTheme="minorEastAsia" w:hAnsiTheme="minorEastAsia" w:eastAsiaTheme="minorEastAsia" w:cstheme="minorEastAsia"/>
                <w:color w:val="auto"/>
                <w:sz w:val="21"/>
                <w:szCs w:val="21"/>
              </w:rPr>
            </w:pPr>
            <w:r>
              <w:rPr>
                <w:rFonts w:hint="eastAsia" w:ascii="宋体" w:hAnsi="宋体"/>
                <w:color w:val="auto"/>
                <w:szCs w:val="21"/>
                <w:lang w:val="en-US" w:eastAsia="zh-CN"/>
              </w:rPr>
              <w:t>Q8.3</w:t>
            </w:r>
          </w:p>
        </w:tc>
        <w:tc>
          <w:tcPr>
            <w:tcW w:w="10961" w:type="dxa"/>
            <w:vAlign w:val="top"/>
          </w:tcPr>
          <w:p>
            <w:pPr>
              <w:spacing w:line="400" w:lineRule="exact"/>
              <w:rPr>
                <w:rFonts w:hint="eastAsia"/>
                <w:color w:val="auto"/>
                <w:highlight w:val="none"/>
                <w:lang w:eastAsia="zh-CN"/>
              </w:rPr>
            </w:pPr>
            <w:r>
              <w:rPr>
                <w:rFonts w:hint="eastAsia"/>
                <w:color w:val="auto"/>
                <w:highlight w:val="none"/>
                <w:lang w:eastAsia="zh-CN"/>
              </w:rPr>
              <w:t>无</w:t>
            </w:r>
          </w:p>
          <w:p>
            <w:pPr>
              <w:spacing w:line="400" w:lineRule="exact"/>
              <w:rPr>
                <w:rFonts w:hint="eastAsia"/>
                <w:color w:val="auto"/>
                <w:highlight w:val="none"/>
                <w:lang w:eastAsia="zh-CN"/>
              </w:rPr>
            </w:pPr>
          </w:p>
          <w:p>
            <w:pPr>
              <w:spacing w:line="400" w:lineRule="exact"/>
              <w:rPr>
                <w:rFonts w:hint="eastAsia" w:asciiTheme="minorEastAsia" w:hAnsiTheme="minorEastAsia" w:eastAsiaTheme="minorEastAsia" w:cstheme="minorEastAsia"/>
                <w:color w:val="auto"/>
                <w:sz w:val="21"/>
                <w:szCs w:val="21"/>
              </w:rPr>
            </w:pPr>
            <w:r>
              <w:rPr>
                <w:rFonts w:hint="eastAsia" w:ascii="宋体" w:hAnsi="宋体"/>
                <w:color w:val="auto"/>
                <w:szCs w:val="21"/>
                <w:highlight w:val="none"/>
                <w:lang w:eastAsia="zh-CN"/>
              </w:rPr>
              <w:t>办公及劳保用品</w:t>
            </w:r>
            <w:r>
              <w:rPr>
                <w:rFonts w:hint="eastAsia" w:ascii="宋体" w:hAnsi="宋体"/>
                <w:color w:val="auto"/>
                <w:szCs w:val="21"/>
                <w:highlight w:val="none"/>
              </w:rPr>
              <w:t>等</w:t>
            </w:r>
            <w:r>
              <w:rPr>
                <w:rFonts w:hint="eastAsia"/>
                <w:color w:val="auto"/>
                <w:szCs w:val="22"/>
                <w:highlight w:val="none"/>
                <w:lang w:val="en-US" w:eastAsia="zh-CN"/>
              </w:rPr>
              <w:t>。</w:t>
            </w:r>
          </w:p>
        </w:tc>
        <w:tc>
          <w:tcPr>
            <w:tcW w:w="628" w:type="dxa"/>
            <w:vAlign w:val="top"/>
          </w:tcPr>
          <w:p>
            <w:pPr>
              <w:spacing w:line="4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符合</w:t>
            </w:r>
          </w:p>
          <w:p>
            <w:pPr>
              <w:spacing w:line="440" w:lineRule="exact"/>
              <w:jc w:val="cente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2160" w:type="dxa"/>
            <w:vAlign w:val="top"/>
          </w:tcPr>
          <w:p>
            <w:pPr>
              <w:spacing w:line="400" w:lineRule="exact"/>
              <w:rPr>
                <w:rFonts w:ascii="宋体" w:hAnsi="宋体"/>
                <w:color w:val="auto"/>
                <w:szCs w:val="21"/>
                <w:highlight w:val="none"/>
              </w:rPr>
            </w:pPr>
            <w:r>
              <w:rPr>
                <w:rFonts w:hint="eastAsia" w:ascii="宋体" w:hAnsi="宋体"/>
                <w:color w:val="auto"/>
                <w:szCs w:val="21"/>
                <w:highlight w:val="none"/>
              </w:rPr>
              <w:t>关键岗位持证上岗人员</w:t>
            </w:r>
          </w:p>
          <w:p>
            <w:pPr>
              <w:spacing w:line="400" w:lineRule="exact"/>
              <w:rPr>
                <w:rFonts w:hint="eastAsia" w:asciiTheme="minorEastAsia" w:hAnsiTheme="minorEastAsia" w:eastAsiaTheme="minorEastAsia" w:cstheme="minorEastAsia"/>
                <w:color w:val="auto"/>
                <w:sz w:val="21"/>
                <w:szCs w:val="21"/>
              </w:rPr>
            </w:pPr>
            <w:r>
              <w:rPr>
                <w:rFonts w:hint="eastAsia" w:ascii="宋体" w:hAnsi="宋体"/>
                <w:color w:val="auto"/>
                <w:szCs w:val="21"/>
                <w:highlight w:val="none"/>
              </w:rPr>
              <w:t>特殊工种人员</w:t>
            </w:r>
          </w:p>
        </w:tc>
        <w:tc>
          <w:tcPr>
            <w:tcW w:w="960" w:type="dxa"/>
            <w:vAlign w:val="top"/>
          </w:tcPr>
          <w:p>
            <w:pPr>
              <w:spacing w:line="440" w:lineRule="exact"/>
              <w:jc w:val="left"/>
              <w:rPr>
                <w:rFonts w:hint="eastAsia" w:asciiTheme="minorEastAsia" w:hAnsiTheme="minorEastAsia" w:eastAsiaTheme="minorEastAsia" w:cstheme="minorEastAsia"/>
                <w:color w:val="auto"/>
                <w:sz w:val="21"/>
                <w:szCs w:val="21"/>
              </w:rPr>
            </w:pPr>
            <w:r>
              <w:rPr>
                <w:rFonts w:hint="eastAsia" w:ascii="宋体" w:hAnsi="宋体"/>
                <w:color w:val="auto"/>
                <w:szCs w:val="21"/>
                <w:lang w:val="en-US" w:eastAsia="zh-CN"/>
              </w:rPr>
              <w:t>Q/E/S:7.2</w:t>
            </w:r>
          </w:p>
        </w:tc>
        <w:tc>
          <w:tcPr>
            <w:tcW w:w="10961" w:type="dxa"/>
            <w:vAlign w:val="top"/>
          </w:tcPr>
          <w:p>
            <w:pPr>
              <w:spacing w:line="400" w:lineRule="exact"/>
              <w:rPr>
                <w:rFonts w:hint="eastAsia" w:ascii="宋体" w:hAnsi="宋体" w:eastAsia="宋体"/>
                <w:color w:val="auto"/>
                <w:szCs w:val="21"/>
                <w:highlight w:val="none"/>
                <w:lang w:eastAsia="zh-CN"/>
              </w:rPr>
            </w:pPr>
            <w:r>
              <w:rPr>
                <w:rFonts w:hint="eastAsia" w:ascii="宋体" w:hAnsi="宋体"/>
                <w:color w:val="auto"/>
                <w:szCs w:val="21"/>
                <w:lang w:eastAsia="zh-CN"/>
              </w:rPr>
              <w:t>销售人员</w:t>
            </w:r>
            <w:r>
              <w:rPr>
                <w:rFonts w:hint="eastAsia" w:ascii="宋体" w:hAnsi="宋体"/>
                <w:color w:val="auto"/>
                <w:szCs w:val="21"/>
                <w:highlight w:val="none"/>
                <w:lang w:eastAsia="zh-CN"/>
              </w:rPr>
              <w:t>。</w:t>
            </w:r>
          </w:p>
          <w:p>
            <w:pPr>
              <w:spacing w:line="400" w:lineRule="exact"/>
              <w:rPr>
                <w:rFonts w:hint="eastAsia" w:asciiTheme="minorEastAsia" w:hAnsiTheme="minorEastAsia" w:eastAsiaTheme="minorEastAsia" w:cstheme="minorEastAsia"/>
                <w:color w:val="auto"/>
                <w:sz w:val="21"/>
                <w:szCs w:val="21"/>
              </w:rPr>
            </w:pPr>
            <w:r>
              <w:rPr>
                <w:rFonts w:hint="eastAsia" w:ascii="宋体" w:hAnsi="宋体"/>
                <w:color w:val="auto"/>
                <w:szCs w:val="21"/>
                <w:lang w:eastAsia="zh-CN"/>
              </w:rPr>
              <w:t>无</w:t>
            </w:r>
          </w:p>
        </w:tc>
        <w:tc>
          <w:tcPr>
            <w:tcW w:w="628" w:type="dxa"/>
            <w:vAlign w:val="top"/>
          </w:tcPr>
          <w:p>
            <w:pPr>
              <w:spacing w:line="4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符合</w:t>
            </w:r>
          </w:p>
          <w:p>
            <w:pPr>
              <w:spacing w:line="440" w:lineRule="exact"/>
              <w:jc w:val="cente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160" w:type="dxa"/>
            <w:vAlign w:val="top"/>
          </w:tcPr>
          <w:p>
            <w:pPr>
              <w:spacing w:line="400" w:lineRule="exact"/>
              <w:rPr>
                <w:rFonts w:ascii="宋体" w:hAnsi="宋体"/>
                <w:color w:val="auto"/>
                <w:szCs w:val="21"/>
                <w:highlight w:val="none"/>
              </w:rPr>
            </w:pPr>
            <w:r>
              <w:rPr>
                <w:rFonts w:hint="eastAsia" w:ascii="宋体" w:hAnsi="宋体"/>
                <w:color w:val="auto"/>
                <w:szCs w:val="21"/>
                <w:highlight w:val="none"/>
              </w:rPr>
              <w:t>主要生产设备</w:t>
            </w: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库房</w:t>
            </w:r>
          </w:p>
          <w:p>
            <w:pPr>
              <w:spacing w:line="400" w:lineRule="exact"/>
              <w:rPr>
                <w:rFonts w:hint="eastAsia" w:ascii="宋体" w:hAnsi="宋体"/>
                <w:color w:val="auto"/>
                <w:szCs w:val="21"/>
                <w:highlight w:val="none"/>
              </w:rPr>
            </w:pPr>
            <w:r>
              <w:rPr>
                <w:rFonts w:hint="eastAsia" w:ascii="宋体" w:hAnsi="宋体"/>
                <w:color w:val="auto"/>
                <w:szCs w:val="21"/>
                <w:highlight w:val="none"/>
              </w:rPr>
              <w:t>特种设备</w:t>
            </w:r>
          </w:p>
          <w:p>
            <w:pPr>
              <w:pStyle w:val="2"/>
            </w:pPr>
          </w:p>
          <w:p>
            <w:pPr>
              <w:spacing w:line="400" w:lineRule="exact"/>
              <w:rPr>
                <w:color w:val="auto"/>
                <w:szCs w:val="21"/>
                <w:highlight w:val="none"/>
              </w:rPr>
            </w:pPr>
            <w:r>
              <w:rPr>
                <w:rFonts w:hint="eastAsia"/>
                <w:color w:val="auto"/>
                <w:szCs w:val="21"/>
                <w:highlight w:val="none"/>
              </w:rPr>
              <w:t>环保设施（EMS）</w:t>
            </w:r>
          </w:p>
          <w:p>
            <w:pPr>
              <w:spacing w:line="400" w:lineRule="exact"/>
              <w:rPr>
                <w:color w:val="auto"/>
                <w:szCs w:val="21"/>
                <w:highlight w:val="none"/>
              </w:rPr>
            </w:pPr>
            <w:r>
              <w:rPr>
                <w:rFonts w:hint="eastAsia"/>
                <w:color w:val="auto"/>
                <w:szCs w:val="21"/>
                <w:highlight w:val="none"/>
              </w:rPr>
              <w:t>安全设施（OHSMS）</w:t>
            </w:r>
          </w:p>
          <w:p>
            <w:pPr>
              <w:spacing w:line="400" w:lineRule="exact"/>
              <w:rPr>
                <w:rFonts w:hint="eastAsia"/>
                <w:color w:val="auto"/>
                <w:szCs w:val="21"/>
                <w:highlight w:val="none"/>
              </w:rPr>
            </w:pPr>
            <w:r>
              <w:rPr>
                <w:rFonts w:hint="eastAsia"/>
                <w:color w:val="auto"/>
                <w:szCs w:val="21"/>
                <w:highlight w:val="none"/>
              </w:rPr>
              <w:t>主要检测设备及设备的检定/校准（QMS）</w:t>
            </w:r>
          </w:p>
          <w:p>
            <w:pPr>
              <w:spacing w:line="400" w:lineRule="exact"/>
              <w:rPr>
                <w:rFonts w:hint="eastAsia"/>
                <w:color w:val="auto"/>
                <w:szCs w:val="21"/>
                <w:highlight w:val="none"/>
              </w:rPr>
            </w:pPr>
            <w:r>
              <w:rPr>
                <w:rFonts w:hint="eastAsia"/>
                <w:color w:val="auto"/>
                <w:szCs w:val="21"/>
                <w:highlight w:val="none"/>
              </w:rPr>
              <w:t>环保监测设备（EMS）</w:t>
            </w:r>
          </w:p>
          <w:p>
            <w:pPr>
              <w:spacing w:line="400" w:lineRule="exact"/>
              <w:rPr>
                <w:rFonts w:hint="eastAsia" w:asciiTheme="minorEastAsia" w:hAnsiTheme="minorEastAsia" w:eastAsiaTheme="minorEastAsia" w:cstheme="minorEastAsia"/>
                <w:color w:val="auto"/>
                <w:sz w:val="21"/>
                <w:szCs w:val="21"/>
              </w:rPr>
            </w:pPr>
            <w:r>
              <w:rPr>
                <w:rFonts w:hint="eastAsia"/>
                <w:color w:val="auto"/>
                <w:szCs w:val="21"/>
                <w:highlight w:val="none"/>
              </w:rPr>
              <w:t>安全监测设备（OHSMS）</w:t>
            </w:r>
          </w:p>
        </w:tc>
        <w:tc>
          <w:tcPr>
            <w:tcW w:w="960" w:type="dxa"/>
            <w:vAlign w:val="top"/>
          </w:tcPr>
          <w:p>
            <w:pPr>
              <w:spacing w:line="440" w:lineRule="exact"/>
              <w:jc w:val="left"/>
              <w:rPr>
                <w:rFonts w:hint="default" w:ascii="宋体" w:hAnsi="宋体" w:eastAsia="宋体"/>
                <w:color w:val="auto"/>
                <w:szCs w:val="21"/>
                <w:lang w:val="en-US" w:eastAsia="zh-CN"/>
              </w:rPr>
            </w:pPr>
            <w:r>
              <w:rPr>
                <w:rFonts w:hint="eastAsia" w:ascii="宋体" w:hAnsi="宋体"/>
                <w:color w:val="auto"/>
                <w:szCs w:val="21"/>
                <w:lang w:val="en-US" w:eastAsia="zh-CN"/>
              </w:rPr>
              <w:t>Q/E/S7.1.3</w:t>
            </w:r>
          </w:p>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jc w:val="both"/>
              <w:rPr>
                <w:rFonts w:hint="eastAsia" w:asciiTheme="minorEastAsia" w:hAnsiTheme="minorEastAsia" w:eastAsiaTheme="minorEastAsia" w:cstheme="minorEastAsia"/>
                <w:color w:val="auto"/>
                <w:sz w:val="21"/>
                <w:szCs w:val="21"/>
              </w:rPr>
            </w:pPr>
          </w:p>
        </w:tc>
        <w:tc>
          <w:tcPr>
            <w:tcW w:w="10961" w:type="dxa"/>
            <w:vAlign w:val="top"/>
          </w:tcPr>
          <w:p>
            <w:pPr>
              <w:spacing w:line="400" w:lineRule="exact"/>
              <w:rPr>
                <w:rFonts w:hint="eastAsia" w:ascii="宋体" w:hAnsi="宋体" w:cs="宋体"/>
                <w:color w:val="auto"/>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电脑、打印机</w:t>
            </w:r>
            <w:r>
              <w:rPr>
                <w:rFonts w:hint="eastAsia" w:asciiTheme="minorEastAsia" w:hAnsiTheme="minorEastAsia" w:eastAsiaTheme="minorEastAsia" w:cstheme="minorEastAsia"/>
                <w:color w:val="auto"/>
                <w:sz w:val="21"/>
                <w:szCs w:val="21"/>
                <w:highlight w:val="none"/>
              </w:rPr>
              <w:t>等</w:t>
            </w:r>
            <w:r>
              <w:rPr>
                <w:rFonts w:hint="eastAsia" w:asciiTheme="minorEastAsia" w:hAnsiTheme="minorEastAsia" w:eastAsiaTheme="minorEastAsia" w:cstheme="minorEastAsia"/>
                <w:color w:val="auto"/>
                <w:sz w:val="21"/>
                <w:szCs w:val="21"/>
                <w:highlight w:val="none"/>
                <w:lang w:val="en-US" w:eastAsia="zh-CN"/>
              </w:rPr>
              <w:t>办公室设备</w:t>
            </w:r>
            <w:r>
              <w:rPr>
                <w:rFonts w:hint="eastAsia" w:ascii="宋体" w:hAnsi="宋体" w:cs="宋体"/>
                <w:color w:val="auto"/>
                <w:szCs w:val="21"/>
                <w:highlight w:val="none"/>
                <w:lang w:eastAsia="zh-CN"/>
              </w:rPr>
              <w:t>。</w:t>
            </w:r>
          </w:p>
          <w:p>
            <w:pPr>
              <w:spacing w:line="400" w:lineRule="exact"/>
              <w:rPr>
                <w:rFonts w:hint="eastAsia" w:ascii="宋体" w:hAnsi="宋体" w:cs="宋体"/>
                <w:color w:val="auto"/>
                <w:szCs w:val="21"/>
                <w:highlight w:val="none"/>
                <w:lang w:eastAsia="zh-CN"/>
              </w:rPr>
            </w:pPr>
          </w:p>
          <w:p>
            <w:pPr>
              <w:spacing w:line="400" w:lineRule="exact"/>
              <w:rPr>
                <w:rFonts w:hint="default" w:asciiTheme="minorEastAsia" w:hAnsiTheme="minorEastAsia" w:eastAsiaTheme="minorEastAsia" w:cstheme="minorEastAsia"/>
                <w:color w:val="auto"/>
                <w:sz w:val="21"/>
                <w:szCs w:val="21"/>
                <w:highlight w:val="none"/>
                <w:lang w:val="en-US" w:eastAsia="zh-CN"/>
              </w:rPr>
            </w:pPr>
            <w:r>
              <w:rPr>
                <w:rFonts w:hint="eastAsia" w:ascii="Times New Roman" w:hAnsi="Times New Roman"/>
                <w:sz w:val="21"/>
                <w:szCs w:val="21"/>
              </w:rPr>
              <w:t>查见</w:t>
            </w:r>
            <w:r>
              <w:rPr>
                <w:rFonts w:hint="eastAsia"/>
                <w:sz w:val="21"/>
                <w:szCs w:val="21"/>
                <w:lang w:val="en-US" w:eastAsia="zh-CN"/>
              </w:rPr>
              <w:t>办公室</w:t>
            </w:r>
            <w:r>
              <w:rPr>
                <w:rFonts w:hint="eastAsia" w:ascii="Times New Roman" w:hAnsi="Times New Roman"/>
                <w:sz w:val="21"/>
                <w:szCs w:val="21"/>
              </w:rPr>
              <w:t>电脑、传真、打印机及网络运行正常</w:t>
            </w:r>
            <w:r>
              <w:rPr>
                <w:rFonts w:hint="eastAsia"/>
                <w:sz w:val="21"/>
                <w:szCs w:val="21"/>
                <w:lang w:eastAsia="zh-CN"/>
              </w:rPr>
              <w:t>；</w:t>
            </w:r>
            <w:r>
              <w:rPr>
                <w:rFonts w:hint="eastAsia"/>
                <w:sz w:val="21"/>
                <w:szCs w:val="21"/>
                <w:lang w:val="en-US" w:eastAsia="zh-CN"/>
              </w:rPr>
              <w:t>库房物品放置基本有秩序，有叉车一台，目前停用停用，企业已经写出声明。</w:t>
            </w:r>
          </w:p>
          <w:p>
            <w:pPr>
              <w:spacing w:line="400" w:lineRule="exact"/>
              <w:rPr>
                <w:rFonts w:ascii="宋体" w:hAnsi="宋体"/>
                <w:color w:val="auto"/>
                <w:szCs w:val="21"/>
                <w:highlight w:val="none"/>
              </w:rPr>
            </w:pPr>
          </w:p>
          <w:p>
            <w:pPr>
              <w:spacing w:line="400" w:lineRule="exact"/>
              <w:rPr>
                <w:rFonts w:hint="eastAsia" w:eastAsia="宋体"/>
                <w:color w:val="auto"/>
                <w:szCs w:val="21"/>
                <w:highlight w:val="none"/>
                <w:lang w:val="en-US" w:eastAsia="zh-CN"/>
              </w:rPr>
            </w:pPr>
            <w:r>
              <w:rPr>
                <w:rFonts w:hint="eastAsia"/>
                <w:color w:val="auto"/>
                <w:szCs w:val="21"/>
                <w:highlight w:val="none"/>
              </w:rPr>
              <w:t>消防栓、灭火器</w:t>
            </w:r>
            <w:r>
              <w:rPr>
                <w:rFonts w:hint="eastAsia"/>
                <w:color w:val="auto"/>
                <w:szCs w:val="21"/>
                <w:highlight w:val="none"/>
                <w:lang w:val="en-US" w:eastAsia="zh-CN"/>
              </w:rPr>
              <w:t>若干</w:t>
            </w:r>
          </w:p>
          <w:p>
            <w:pPr>
              <w:spacing w:line="400" w:lineRule="exact"/>
              <w:rPr>
                <w:rFonts w:hint="eastAsia" w:eastAsia="宋体"/>
                <w:color w:val="auto"/>
                <w:szCs w:val="21"/>
                <w:highlight w:val="none"/>
                <w:lang w:eastAsia="zh-CN"/>
              </w:rPr>
            </w:pPr>
            <w:r>
              <w:rPr>
                <w:rFonts w:hint="eastAsia"/>
                <w:color w:val="auto"/>
                <w:szCs w:val="21"/>
                <w:highlight w:val="none"/>
              </w:rPr>
              <w:t>配电箱</w:t>
            </w:r>
            <w:r>
              <w:rPr>
                <w:rFonts w:hint="eastAsia"/>
                <w:color w:val="auto"/>
                <w:szCs w:val="21"/>
                <w:highlight w:val="none"/>
                <w:lang w:eastAsia="zh-CN"/>
              </w:rPr>
              <w:t>无异常</w:t>
            </w:r>
          </w:p>
          <w:p>
            <w:pPr>
              <w:spacing w:line="400" w:lineRule="exact"/>
              <w:rPr>
                <w:rFonts w:hint="eastAsia"/>
                <w:color w:val="auto"/>
                <w:szCs w:val="21"/>
                <w:highlight w:val="none"/>
              </w:rPr>
            </w:pPr>
            <w:r>
              <w:rPr>
                <w:rFonts w:hint="eastAsia" w:ascii="宋体" w:hAnsi="宋体"/>
                <w:color w:val="auto"/>
                <w:szCs w:val="21"/>
                <w:highlight w:val="none"/>
                <w:lang w:eastAsia="zh-CN"/>
              </w:rPr>
              <w:t>无</w:t>
            </w:r>
          </w:p>
          <w:p>
            <w:pPr>
              <w:spacing w:line="400" w:lineRule="exact"/>
              <w:rPr>
                <w:rFonts w:hint="eastAsia"/>
                <w:color w:val="auto"/>
                <w:szCs w:val="21"/>
                <w:highlight w:val="none"/>
              </w:rPr>
            </w:pPr>
          </w:p>
          <w:p>
            <w:pPr>
              <w:spacing w:line="400" w:lineRule="exact"/>
              <w:rPr>
                <w:rFonts w:hint="eastAsia"/>
                <w:color w:val="auto"/>
                <w:szCs w:val="21"/>
                <w:highlight w:val="none"/>
              </w:rPr>
            </w:pPr>
            <w:r>
              <w:rPr>
                <w:rFonts w:hint="eastAsia"/>
                <w:color w:val="auto"/>
                <w:szCs w:val="21"/>
                <w:highlight w:val="none"/>
              </w:rPr>
              <w:t>无</w:t>
            </w:r>
          </w:p>
          <w:p>
            <w:pPr>
              <w:spacing w:line="400" w:lineRule="exact"/>
              <w:rPr>
                <w:rFonts w:hint="eastAsia" w:asciiTheme="minorEastAsia" w:hAnsiTheme="minorEastAsia" w:eastAsiaTheme="minorEastAsia" w:cstheme="minorEastAsia"/>
                <w:color w:val="auto"/>
                <w:sz w:val="21"/>
                <w:szCs w:val="21"/>
              </w:rPr>
            </w:pPr>
            <w:r>
              <w:rPr>
                <w:rFonts w:hint="eastAsia"/>
                <w:color w:val="auto"/>
                <w:szCs w:val="21"/>
                <w:highlight w:val="none"/>
              </w:rPr>
              <w:t>无</w:t>
            </w:r>
          </w:p>
        </w:tc>
        <w:tc>
          <w:tcPr>
            <w:tcW w:w="628" w:type="dxa"/>
            <w:vMerge w:val="restart"/>
            <w:vAlign w:val="top"/>
          </w:tcPr>
          <w:p>
            <w:pPr>
              <w:spacing w:line="4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符合</w:t>
            </w:r>
          </w:p>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jc w:val="both"/>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vAlign w:val="top"/>
          </w:tcPr>
          <w:p>
            <w:pPr>
              <w:spacing w:line="400" w:lineRule="exact"/>
              <w:rPr>
                <w:rFonts w:hint="eastAsia" w:asciiTheme="minorEastAsia" w:hAnsiTheme="minorEastAsia" w:eastAsiaTheme="minorEastAsia" w:cstheme="minorEastAsia"/>
                <w:color w:val="auto"/>
                <w:sz w:val="21"/>
                <w:szCs w:val="21"/>
              </w:rPr>
            </w:pPr>
            <w:r>
              <w:rPr>
                <w:rFonts w:hint="eastAsia" w:ascii="宋体" w:hAnsi="宋体"/>
                <w:color w:val="auto"/>
                <w:szCs w:val="21"/>
              </w:rPr>
              <w:t>顾客及相关方投诉</w:t>
            </w:r>
          </w:p>
        </w:tc>
        <w:tc>
          <w:tcPr>
            <w:tcW w:w="960" w:type="dxa"/>
            <w:vAlign w:val="top"/>
          </w:tcPr>
          <w:p>
            <w:pPr>
              <w:spacing w:line="440" w:lineRule="exact"/>
              <w:jc w:val="center"/>
              <w:rPr>
                <w:rFonts w:hint="eastAsia" w:asciiTheme="minorEastAsia" w:hAnsiTheme="minorEastAsia" w:eastAsiaTheme="minorEastAsia" w:cstheme="minorEastAsia"/>
                <w:color w:val="auto"/>
                <w:sz w:val="21"/>
                <w:szCs w:val="21"/>
              </w:rPr>
            </w:pPr>
          </w:p>
        </w:tc>
        <w:tc>
          <w:tcPr>
            <w:tcW w:w="10961" w:type="dxa"/>
            <w:vAlign w:val="top"/>
          </w:tcPr>
          <w:p>
            <w:pPr>
              <w:spacing w:line="400" w:lineRule="exact"/>
              <w:rPr>
                <w:rFonts w:hint="eastAsia" w:asciiTheme="minorEastAsia" w:hAnsiTheme="minorEastAsia" w:eastAsiaTheme="minorEastAsia" w:cstheme="minorEastAsia"/>
                <w:color w:val="auto"/>
                <w:sz w:val="21"/>
                <w:szCs w:val="21"/>
              </w:rPr>
            </w:pPr>
            <w:r>
              <w:rPr>
                <w:rFonts w:hint="eastAsia" w:ascii="宋体" w:hAnsi="宋体"/>
                <w:color w:val="auto"/>
                <w:szCs w:val="21"/>
              </w:rPr>
              <w:t>暂无</w:t>
            </w:r>
          </w:p>
        </w:tc>
        <w:tc>
          <w:tcPr>
            <w:tcW w:w="628" w:type="dxa"/>
            <w:vMerge w:val="continue"/>
            <w:tcBorders/>
            <w:vAlign w:val="top"/>
          </w:tcPr>
          <w:p>
            <w:pPr>
              <w:spacing w:line="440" w:lineRule="exact"/>
              <w:jc w:val="center"/>
              <w:rPr>
                <w:rFonts w:hint="eastAsia" w:ascii="Times New Roman" w:hAnsi="Times New Roman" w:eastAsia="宋体" w:cs="Times New Roman"/>
                <w:color w:val="auto"/>
                <w:kern w:val="2"/>
                <w:sz w:val="21"/>
                <w:lang w:val="en-US" w:eastAsia="zh-CN" w:bidi="ar-SA"/>
              </w:rPr>
            </w:pP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ptab w:relativeTo="margin" w:alignment="center" w:leader="none"/>
      </w:r>
    </w:p>
    <w:p>
      <w:pPr>
        <w:pStyle w:val="4"/>
      </w:pPr>
      <w:r>
        <w:rPr>
          <w:rFonts w:hint="eastAsia" w:asciiTheme="minorEastAsia" w:hAnsiTheme="minorEastAsia" w:eastAsiaTheme="minorEastAsia" w:cstheme="minor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135ABE"/>
    <w:rsid w:val="03B10C35"/>
    <w:rsid w:val="069971A3"/>
    <w:rsid w:val="09EC7432"/>
    <w:rsid w:val="130D055C"/>
    <w:rsid w:val="14621888"/>
    <w:rsid w:val="1BF75DA7"/>
    <w:rsid w:val="26774497"/>
    <w:rsid w:val="26FF0743"/>
    <w:rsid w:val="4E64408B"/>
    <w:rsid w:val="4EBD64D0"/>
    <w:rsid w:val="51737556"/>
    <w:rsid w:val="555958A5"/>
    <w:rsid w:val="57AD17D1"/>
    <w:rsid w:val="58043860"/>
    <w:rsid w:val="5B461C86"/>
    <w:rsid w:val="5B832722"/>
    <w:rsid w:val="5CE53C8F"/>
    <w:rsid w:val="60D45661"/>
    <w:rsid w:val="61401E1B"/>
    <w:rsid w:val="630C6F9B"/>
    <w:rsid w:val="6C0737C1"/>
    <w:rsid w:val="72CB0AC1"/>
    <w:rsid w:val="767567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TotalTime>
  <ScaleCrop>false</ScaleCrop>
  <LinksUpToDate>false</LinksUpToDate>
  <CharactersWithSpaces>100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2020-05-14T02:54:29Z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