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长治市德烨通餐饮管理有限公司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2023-N1OHSMS-1222839</w:t>
            </w:r>
          </w:p>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F:实习审核员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2023-N0FSMS-1301841</w:t>
            </w:r>
          </w:p>
          <w:p w:rsidR="00F9189D">
            <w:pPr>
              <w:spacing w:line="360" w:lineRule="auto"/>
              <w:jc w:val="center"/>
              <w:rPr>
                <w:b/>
                <w:szCs w:val="21"/>
              </w:rPr>
            </w:pPr>
            <w:r>
              <w:rPr>
                <w:b/>
                <w:szCs w:val="21"/>
              </w:rPr>
              <w:t>培训证书</w:t>
            </w:r>
          </w:p>
        </w:tc>
        <w:tc>
          <w:tcPr>
            <w:tcW w:w="3145" w:type="dxa"/>
            <w:vAlign w:val="center"/>
          </w:tcPr>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2024年03月21日 上午至2024年03月25日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长治市太行北路168号钜星创业大厦2幢10层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山西省长治市屯留县李高乡西李高村西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