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73D7">
      <w:pPr>
        <w:ind w:firstLine="252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r w:rsidRPr="00E40A99">
              <w:rPr>
                <w:szCs w:val="21"/>
              </w:rPr>
              <w:t>四川亚大塑料制品有限公司</w:t>
            </w:r>
            <w:bookmarkEnd w:id="0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r w:rsidRPr="00E40A99">
              <w:rPr>
                <w:szCs w:val="21"/>
              </w:rPr>
              <w:t>工程塑料、合成橡胶制品和液压、煤气、气动、热力管道生产所涉及的能源管理活动；</w:t>
            </w:r>
            <w:bookmarkEnd w:id="1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height:2in;margin-left:0;margin-top:0;mso-position-horizontal:center;mso-position-horizontal-relative:margin;mso-wrap-style:none;position:absolute;width:2in;z-index:251658240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7337A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6.5pt;margin-top:13.7pt;position:absolute;width:190.8pt;z-index:251659264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155</Words>
  <Characters>889</Characters>
  <Application>Microsoft Office Word</Application>
  <DocSecurity>0</DocSecurity>
  <Lines>7</Lines>
  <Paragraphs>2</Paragraphs>
  <ScaleCrop>false</ScaleCrop>
  <Company>微软中国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77</cp:revision>
  <cp:lastPrinted>2019-05-13T03:19:00Z</cp:lastPrinted>
  <dcterms:created xsi:type="dcterms:W3CDTF">2015-06-17T14:51:00Z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