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0018-2019-2020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咸阳圣亚机电设备有限公司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029-84627588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2020.5.4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0018-2019-2020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咸阳圣亚机电设备有限公司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029-84627588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2020.5.4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415" w:firstLineChars="115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2020.5.4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017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2020-05-03T09:14:19Z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