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Times New Roman"/>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cs="Times New Roman"/>
          <w:b/>
          <w:color w:val="000000"/>
          <w:sz w:val="32"/>
          <w:szCs w:val="32"/>
        </w:rPr>
        <w:t>任丘市泰美标牌有限公司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228"/>
        <w:gridCol w:w="1354"/>
        <w:gridCol w:w="2564"/>
        <w:gridCol w:w="382"/>
        <w:gridCol w:w="850"/>
        <w:gridCol w:w="259"/>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28" w:type="dxa"/>
            <w:vAlign w:val="center"/>
          </w:tcPr>
          <w:p>
            <w:pPr>
              <w:jc w:val="center"/>
              <w:rPr>
                <w:b/>
                <w:sz w:val="21"/>
                <w:szCs w:val="21"/>
              </w:rPr>
            </w:pPr>
            <w:r>
              <w:rPr>
                <w:rFonts w:hint="eastAsia"/>
                <w:b/>
                <w:sz w:val="21"/>
                <w:szCs w:val="21"/>
              </w:rPr>
              <w:t>职务</w:t>
            </w:r>
          </w:p>
        </w:tc>
        <w:tc>
          <w:tcPr>
            <w:tcW w:w="1354" w:type="dxa"/>
            <w:vAlign w:val="center"/>
          </w:tcPr>
          <w:p>
            <w:pPr>
              <w:jc w:val="center"/>
              <w:rPr>
                <w:b/>
                <w:sz w:val="21"/>
                <w:szCs w:val="21"/>
              </w:rPr>
            </w:pPr>
            <w:r>
              <w:rPr>
                <w:rFonts w:hint="eastAsia"/>
                <w:b/>
                <w:sz w:val="21"/>
                <w:szCs w:val="21"/>
              </w:rPr>
              <w:t>注册级别</w:t>
            </w:r>
          </w:p>
        </w:tc>
        <w:tc>
          <w:tcPr>
            <w:tcW w:w="2564" w:type="dxa"/>
            <w:vAlign w:val="center"/>
          </w:tcPr>
          <w:p>
            <w:pPr>
              <w:jc w:val="center"/>
              <w:rPr>
                <w:b/>
                <w:sz w:val="21"/>
                <w:szCs w:val="21"/>
              </w:rPr>
            </w:pPr>
            <w:r>
              <w:rPr>
                <w:rFonts w:hint="eastAsia"/>
                <w:b/>
                <w:sz w:val="21"/>
                <w:szCs w:val="21"/>
              </w:rPr>
              <w:t>审核员注册号</w:t>
            </w:r>
          </w:p>
        </w:tc>
        <w:tc>
          <w:tcPr>
            <w:tcW w:w="1491" w:type="dxa"/>
            <w:gridSpan w:val="3"/>
            <w:vAlign w:val="center"/>
          </w:tcPr>
          <w:p>
            <w:pPr>
              <w:jc w:val="center"/>
              <w:rPr>
                <w:b/>
                <w:sz w:val="21"/>
                <w:szCs w:val="21"/>
              </w:rPr>
            </w:pPr>
            <w:r>
              <w:rPr>
                <w:rFonts w:hint="eastAsia"/>
                <w:b/>
                <w:sz w:val="21"/>
                <w:szCs w:val="21"/>
              </w:rPr>
              <w:t>专业代码</w:t>
            </w:r>
          </w:p>
        </w:tc>
        <w:tc>
          <w:tcPr>
            <w:tcW w:w="1355"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吉洁</w:t>
            </w:r>
          </w:p>
        </w:tc>
        <w:tc>
          <w:tcPr>
            <w:tcW w:w="824" w:type="dxa"/>
            <w:gridSpan w:val="2"/>
            <w:vAlign w:val="center"/>
          </w:tcPr>
          <w:p>
            <w:pPr>
              <w:jc w:val="center"/>
              <w:rPr>
                <w:b/>
                <w:sz w:val="21"/>
                <w:szCs w:val="21"/>
              </w:rPr>
            </w:pPr>
            <w:r>
              <w:rPr>
                <w:b/>
                <w:sz w:val="21"/>
                <w:szCs w:val="21"/>
              </w:rPr>
              <w:t>女</w:t>
            </w:r>
          </w:p>
        </w:tc>
        <w:tc>
          <w:tcPr>
            <w:tcW w:w="1228" w:type="dxa"/>
            <w:vAlign w:val="center"/>
          </w:tcPr>
          <w:p>
            <w:pPr>
              <w:jc w:val="center"/>
              <w:rPr>
                <w:b/>
                <w:sz w:val="21"/>
                <w:szCs w:val="21"/>
              </w:rPr>
            </w:pPr>
            <w:r>
              <w:rPr>
                <w:b/>
                <w:sz w:val="21"/>
                <w:szCs w:val="21"/>
              </w:rPr>
              <w:t>组长</w:t>
            </w:r>
          </w:p>
        </w:tc>
        <w:tc>
          <w:tcPr>
            <w:tcW w:w="1354"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2564" w:type="dxa"/>
            <w:vAlign w:val="center"/>
          </w:tcPr>
          <w:p>
            <w:pPr>
              <w:jc w:val="center"/>
              <w:rPr>
                <w:b/>
                <w:sz w:val="21"/>
                <w:szCs w:val="21"/>
              </w:rPr>
            </w:pPr>
            <w:r>
              <w:rPr>
                <w:b/>
                <w:sz w:val="21"/>
                <w:szCs w:val="21"/>
              </w:rPr>
              <w:t>2020-N1EMS-3022240</w:t>
            </w:r>
          </w:p>
          <w:p>
            <w:pPr>
              <w:jc w:val="center"/>
              <w:rPr>
                <w:b/>
                <w:sz w:val="21"/>
                <w:szCs w:val="21"/>
              </w:rPr>
            </w:pPr>
            <w:r>
              <w:rPr>
                <w:b/>
                <w:sz w:val="21"/>
                <w:szCs w:val="21"/>
              </w:rPr>
              <w:t>2020-N1OHSMS-3022240</w:t>
            </w:r>
          </w:p>
        </w:tc>
        <w:tc>
          <w:tcPr>
            <w:tcW w:w="1491" w:type="dxa"/>
            <w:gridSpan w:val="3"/>
            <w:vAlign w:val="center"/>
          </w:tcPr>
          <w:p>
            <w:pPr>
              <w:jc w:val="center"/>
              <w:rPr>
                <w:b/>
                <w:sz w:val="21"/>
                <w:szCs w:val="21"/>
              </w:rPr>
            </w:pPr>
            <w:r>
              <w:rPr>
                <w:b/>
                <w:sz w:val="21"/>
                <w:szCs w:val="21"/>
              </w:rPr>
              <w:t>E:29.12.00</w:t>
            </w:r>
          </w:p>
          <w:p>
            <w:pPr>
              <w:jc w:val="center"/>
              <w:rPr>
                <w:b/>
                <w:sz w:val="21"/>
                <w:szCs w:val="21"/>
              </w:rPr>
            </w:pPr>
            <w:r>
              <w:rPr>
                <w:b/>
                <w:sz w:val="21"/>
                <w:szCs w:val="21"/>
              </w:rPr>
              <w:t>O:29.12.00</w:t>
            </w:r>
          </w:p>
        </w:tc>
        <w:tc>
          <w:tcPr>
            <w:tcW w:w="1355" w:type="dxa"/>
            <w:vAlign w:val="center"/>
          </w:tcPr>
          <w:p>
            <w:pPr>
              <w:jc w:val="center"/>
              <w:rPr>
                <w:b/>
                <w:sz w:val="21"/>
                <w:szCs w:val="21"/>
              </w:rPr>
            </w:pPr>
            <w:r>
              <w:rPr>
                <w:b/>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28" w:type="dxa"/>
            <w:vAlign w:val="center"/>
          </w:tcPr>
          <w:p>
            <w:pPr>
              <w:jc w:val="center"/>
              <w:rPr>
                <w:b/>
                <w:sz w:val="21"/>
                <w:szCs w:val="21"/>
              </w:rPr>
            </w:pPr>
            <w:r>
              <w:rPr>
                <w:rFonts w:hint="eastAsia"/>
                <w:b/>
                <w:sz w:val="21"/>
                <w:szCs w:val="21"/>
              </w:rPr>
              <w:t>角色</w:t>
            </w:r>
          </w:p>
        </w:tc>
        <w:tc>
          <w:tcPr>
            <w:tcW w:w="6764"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rFonts w:hint="eastAsia" w:eastAsia="宋体"/>
                <w:b/>
                <w:sz w:val="21"/>
                <w:szCs w:val="21"/>
                <w:lang w:val="en-US" w:eastAsia="zh-CN"/>
              </w:rPr>
            </w:pPr>
            <w:r>
              <w:rPr>
                <w:rFonts w:hint="eastAsia"/>
                <w:b/>
                <w:sz w:val="21"/>
                <w:szCs w:val="21"/>
                <w:lang w:val="en-US" w:eastAsia="zh-CN"/>
              </w:rPr>
              <w:t>/</w:t>
            </w:r>
          </w:p>
        </w:tc>
        <w:tc>
          <w:tcPr>
            <w:tcW w:w="824" w:type="dxa"/>
            <w:gridSpan w:val="2"/>
            <w:vAlign w:val="center"/>
          </w:tcPr>
          <w:p>
            <w:pPr>
              <w:jc w:val="center"/>
              <w:rPr>
                <w:b/>
                <w:sz w:val="21"/>
                <w:szCs w:val="21"/>
              </w:rPr>
            </w:pPr>
          </w:p>
        </w:tc>
        <w:tc>
          <w:tcPr>
            <w:tcW w:w="1228" w:type="dxa"/>
            <w:vAlign w:val="center"/>
          </w:tcPr>
          <w:p>
            <w:pPr>
              <w:jc w:val="center"/>
              <w:rPr>
                <w:b/>
                <w:sz w:val="21"/>
                <w:szCs w:val="21"/>
              </w:rPr>
            </w:pPr>
          </w:p>
        </w:tc>
        <w:tc>
          <w:tcPr>
            <w:tcW w:w="6764"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ascii="宋体" w:hAnsi="宋体"/>
          <w:b/>
          <w:bCs/>
          <w:sz w:val="20"/>
          <w:u w:val="single"/>
          <w:lang w:eastAsia="zh-CN"/>
        </w:rPr>
      </w:pPr>
      <w:r>
        <w:rPr>
          <w:rFonts w:hint="eastAsia"/>
          <w:b/>
          <w:sz w:val="21"/>
          <w:szCs w:val="21"/>
          <w:lang w:eastAsia="zh-CN"/>
        </w:rPr>
        <w:t>☑</w:t>
      </w:r>
      <w:r>
        <w:rPr>
          <w:rFonts w:hint="eastAsia"/>
          <w:b/>
          <w:sz w:val="21"/>
          <w:szCs w:val="21"/>
        </w:rPr>
        <w:t>保持认证注册资格：</w:t>
      </w:r>
      <w:r>
        <w:rPr>
          <w:rFonts w:hint="eastAsia" w:ascii="宋体" w:hAnsi="宋体"/>
          <w:b/>
          <w:bCs/>
          <w:sz w:val="20"/>
          <w:u w:val="single"/>
        </w:rPr>
        <w:t>验证组织管理体系是否持续有效运行，以确定是否推荐保持认证注册资格</w:t>
      </w:r>
      <w:r>
        <w:rPr>
          <w:rFonts w:hint="eastAsia" w:ascii="宋体" w:hAnsi="宋体"/>
          <w:b/>
          <w:bCs/>
          <w:sz w:val="20"/>
          <w:u w:val="single"/>
          <w:lang w:eastAsia="zh-CN"/>
        </w:rPr>
        <w:t>。</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lang w:eastAsia="zh-CN"/>
        </w:rPr>
        <w:t>☑</w:t>
      </w:r>
      <w:r>
        <w:rPr>
          <w:rFonts w:hint="eastAsia"/>
          <w:b/>
          <w:sz w:val="21"/>
          <w:szCs w:val="21"/>
        </w:rPr>
        <w:t>其它：</w:t>
      </w:r>
      <w:r>
        <w:rPr>
          <w:rFonts w:hint="eastAsia"/>
          <w:b/>
          <w:sz w:val="21"/>
          <w:szCs w:val="21"/>
          <w:lang w:val="en-US" w:eastAsia="zh-CN"/>
        </w:rPr>
        <w:t>职业健康安全体系转版</w:t>
      </w:r>
      <w:r>
        <w:rPr>
          <w:rFonts w:hint="eastAsia"/>
          <w:b/>
          <w:sz w:val="21"/>
          <w:szCs w:val="21"/>
        </w:rPr>
        <w:t>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w:t>
      </w:r>
      <w:r>
        <w:rPr>
          <w:rFonts w:hint="eastAsia"/>
          <w:b/>
          <w:sz w:val="21"/>
          <w:szCs w:val="21"/>
          <w:lang w:val="en-US" w:eastAsia="zh-CN"/>
        </w:rPr>
        <w:t>45</w:t>
      </w:r>
      <w:r>
        <w:rPr>
          <w:rFonts w:hint="eastAsia"/>
          <w:b/>
          <w:sz w:val="21"/>
          <w:szCs w:val="21"/>
        </w:rPr>
        <w:t>001-20</w:t>
      </w:r>
      <w:r>
        <w:rPr>
          <w:rFonts w:hint="eastAsia"/>
          <w:b/>
          <w:sz w:val="21"/>
          <w:szCs w:val="21"/>
          <w:lang w:val="en-US" w:eastAsia="zh-CN"/>
        </w:rPr>
        <w:t>20</w:t>
      </w:r>
      <w:r>
        <w:rPr>
          <w:rFonts w:hint="eastAsia"/>
          <w:b/>
          <w:sz w:val="21"/>
          <w:szCs w:val="21"/>
        </w:rPr>
        <w:t xml:space="preserve"> idt ISO45001：2018标准</w:t>
      </w:r>
    </w:p>
    <w:p>
      <w:pPr>
        <w:tabs>
          <w:tab w:val="left" w:pos="645"/>
        </w:tabs>
        <w:rPr>
          <w:rFonts w:hint="eastAsia"/>
          <w:b/>
          <w:sz w:val="21"/>
          <w:szCs w:val="21"/>
        </w:rPr>
      </w:pPr>
      <w:bookmarkStart w:id="10" w:name="S勾选Add1"/>
      <w:r>
        <w:rPr>
          <w:rFonts w:hint="eastAsia"/>
          <w:b/>
          <w:sz w:val="21"/>
          <w:szCs w:val="21"/>
        </w:rPr>
        <w:t>■</w:t>
      </w:r>
      <w:bookmarkEnd w:id="10"/>
      <w:r>
        <w:rPr>
          <w:rFonts w:hint="eastAsia"/>
          <w:b/>
          <w:sz w:val="21"/>
          <w:szCs w:val="21"/>
        </w:rPr>
        <w:t>受审核方管理体系文件■适用的法律法规</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1517"/>
        <w:gridCol w:w="1281"/>
        <w:gridCol w:w="1495"/>
        <w:gridCol w:w="179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b/>
                <w:color w:val="auto"/>
                <w:sz w:val="16"/>
                <w:szCs w:val="16"/>
              </w:rPr>
            </w:pPr>
            <w:r>
              <w:rPr>
                <w:rFonts w:hint="eastAsia" w:ascii="宋体" w:hAnsi="宋体"/>
                <w:b/>
                <w:color w:val="auto"/>
                <w:sz w:val="21"/>
              </w:rPr>
              <w:t>受审核方名称</w:t>
            </w:r>
          </w:p>
        </w:tc>
        <w:tc>
          <w:tcPr>
            <w:tcW w:w="429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bookmarkStart w:id="11" w:name="组织名称Add"/>
            <w:r>
              <w:rPr>
                <w:rFonts w:ascii="宋体"/>
                <w:b/>
                <w:color w:val="auto"/>
                <w:sz w:val="21"/>
              </w:rPr>
              <w:t>任丘市泰美标牌有限公司</w:t>
            </w:r>
            <w:bookmarkEnd w:id="11"/>
          </w:p>
        </w:tc>
        <w:tc>
          <w:tcPr>
            <w:tcW w:w="17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r>
              <w:rPr>
                <w:rFonts w:hint="eastAsia" w:ascii="宋体" w:hAnsi="宋体"/>
                <w:b/>
                <w:color w:val="auto"/>
                <w:sz w:val="21"/>
              </w:rPr>
              <w:t>组织人数及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b/>
                <w:color w:val="auto"/>
                <w:spacing w:val="-20"/>
              </w:rPr>
            </w:pPr>
            <w:r>
              <w:rPr>
                <w:rFonts w:hint="eastAsia" w:ascii="宋体" w:hAnsi="宋体"/>
                <w:b/>
                <w:color w:val="auto"/>
                <w:sz w:val="21"/>
              </w:rPr>
              <w:t>变动情况核实</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eastAsia="宋体"/>
                <w:b/>
                <w:color w:val="auto"/>
                <w:sz w:val="21"/>
                <w:lang w:val="en-US" w:eastAsia="zh-CN"/>
              </w:rPr>
            </w:pPr>
            <w:r>
              <w:rPr>
                <w:rFonts w:hint="eastAsia" w:ascii="宋体"/>
                <w:b/>
                <w:color w:val="auto"/>
                <w:sz w:val="21"/>
                <w:lang w:val="en-US" w:eastAsia="zh-CN"/>
              </w:rPr>
              <w:t>10无变化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color w:val="auto"/>
                <w:sz w:val="16"/>
                <w:szCs w:val="16"/>
              </w:rPr>
            </w:pPr>
            <w:r>
              <w:rPr>
                <w:rFonts w:hint="eastAsia" w:ascii="宋体" w:hAnsi="宋体"/>
                <w:b/>
                <w:color w:val="auto"/>
                <w:sz w:val="21"/>
                <w:szCs w:val="21"/>
              </w:rPr>
              <w:t>注册地址</w:t>
            </w:r>
          </w:p>
        </w:tc>
        <w:tc>
          <w:tcPr>
            <w:tcW w:w="429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bookmarkStart w:id="12" w:name="注册地址"/>
            <w:r>
              <w:rPr>
                <w:rFonts w:ascii="宋体"/>
                <w:b/>
                <w:color w:val="auto"/>
                <w:sz w:val="21"/>
              </w:rPr>
              <w:t>任丘市梁召镇正洛村</w:t>
            </w:r>
            <w:bookmarkEnd w:id="12"/>
          </w:p>
        </w:tc>
        <w:tc>
          <w:tcPr>
            <w:tcW w:w="179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r>
              <w:rPr>
                <w:rFonts w:hint="eastAsia" w:ascii="宋体" w:hAnsi="宋体"/>
                <w:b/>
                <w:color w:val="auto"/>
                <w:sz w:val="21"/>
              </w:rPr>
              <w:t>邮编</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bookmarkStart w:id="13" w:name="注册邮编"/>
            <w:r>
              <w:rPr>
                <w:rFonts w:ascii="宋体"/>
                <w:b/>
                <w:color w:val="auto"/>
                <w:sz w:val="21"/>
              </w:rPr>
              <w:t>062550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b/>
                <w:color w:val="auto"/>
                <w:sz w:val="21"/>
                <w:szCs w:val="21"/>
              </w:rPr>
            </w:pPr>
            <w:r>
              <w:rPr>
                <w:rFonts w:hint="eastAsia" w:ascii="宋体" w:hAnsi="宋体"/>
                <w:b/>
                <w:color w:val="auto"/>
                <w:sz w:val="21"/>
                <w:szCs w:val="21"/>
              </w:rPr>
              <w:t>经营地址</w:t>
            </w:r>
          </w:p>
        </w:tc>
        <w:tc>
          <w:tcPr>
            <w:tcW w:w="429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bookmarkStart w:id="14" w:name="办公地址"/>
            <w:r>
              <w:rPr>
                <w:rFonts w:ascii="宋体"/>
                <w:b/>
                <w:color w:val="auto"/>
                <w:sz w:val="21"/>
              </w:rPr>
              <w:t>任丘市梁召镇正洛村</w:t>
            </w:r>
            <w:bookmarkEnd w:id="14"/>
          </w:p>
        </w:tc>
        <w:tc>
          <w:tcPr>
            <w:tcW w:w="17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bookmarkStart w:id="15" w:name="办公邮编"/>
            <w:r>
              <w:rPr>
                <w:rFonts w:ascii="宋体"/>
                <w:b/>
                <w:color w:val="auto"/>
                <w:sz w:val="21"/>
              </w:rPr>
              <w:t>062550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b/>
                <w:color w:val="auto"/>
                <w:sz w:val="21"/>
                <w:szCs w:val="21"/>
              </w:rPr>
            </w:pPr>
            <w:r>
              <w:rPr>
                <w:rFonts w:hint="eastAsia" w:ascii="宋体" w:hAnsi="宋体"/>
                <w:b/>
                <w:color w:val="auto"/>
                <w:sz w:val="21"/>
                <w:szCs w:val="21"/>
              </w:rPr>
              <w:t>生产地址</w:t>
            </w:r>
          </w:p>
        </w:tc>
        <w:tc>
          <w:tcPr>
            <w:tcW w:w="429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bookmarkStart w:id="16" w:name="生产地址Add"/>
            <w:r>
              <w:rPr>
                <w:rFonts w:ascii="宋体"/>
                <w:b/>
                <w:color w:val="auto"/>
                <w:sz w:val="21"/>
              </w:rPr>
              <w:t>任丘市梁召镇正洛村</w:t>
            </w:r>
            <w:bookmarkEnd w:id="16"/>
          </w:p>
        </w:tc>
        <w:tc>
          <w:tcPr>
            <w:tcW w:w="179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bookmarkStart w:id="17" w:name="生产邮编"/>
            <w:r>
              <w:rPr>
                <w:rFonts w:ascii="宋体"/>
                <w:b/>
                <w:color w:val="auto"/>
                <w:sz w:val="21"/>
              </w:rPr>
              <w:t>062550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b/>
                <w:color w:val="auto"/>
                <w:sz w:val="21"/>
              </w:rPr>
            </w:pPr>
            <w:r>
              <w:rPr>
                <w:rFonts w:hint="eastAsia" w:ascii="宋体" w:hAnsi="宋体"/>
                <w:b/>
                <w:color w:val="auto"/>
                <w:sz w:val="21"/>
              </w:rPr>
              <w:t>联系人</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bookmarkStart w:id="18" w:name="联系人"/>
            <w:r>
              <w:rPr>
                <w:rFonts w:ascii="宋体"/>
                <w:b/>
                <w:color w:val="auto"/>
                <w:sz w:val="21"/>
              </w:rPr>
              <w:t>赵向南</w:t>
            </w:r>
            <w:bookmarkEnd w:id="18"/>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r>
              <w:rPr>
                <w:rFonts w:hint="eastAsia" w:ascii="宋体" w:hAnsi="宋体"/>
                <w:b/>
                <w:color w:val="auto"/>
                <w:sz w:val="21"/>
              </w:rPr>
              <w:t>电话</w:t>
            </w:r>
          </w:p>
        </w:tc>
        <w:tc>
          <w:tcPr>
            <w:tcW w:w="14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bookmarkStart w:id="19" w:name="联系人电话Add"/>
            <w:r>
              <w:rPr>
                <w:rFonts w:ascii="宋体"/>
                <w:b/>
                <w:color w:val="auto"/>
                <w:sz w:val="21"/>
              </w:rPr>
              <w:t>18831765858</w:t>
            </w:r>
            <w:bookmarkEnd w:id="19"/>
          </w:p>
        </w:tc>
        <w:tc>
          <w:tcPr>
            <w:tcW w:w="17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r>
              <w:rPr>
                <w:rFonts w:hint="eastAsia" w:ascii="宋体" w:hAnsi="宋体"/>
                <w:b/>
                <w:color w:val="auto"/>
                <w:sz w:val="21"/>
              </w:rPr>
              <w:t>传真</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auto"/>
                <w:sz w:val="21"/>
                <w:szCs w:val="21"/>
              </w:rPr>
            </w:pPr>
            <w:r>
              <w:rPr>
                <w:rFonts w:hint="eastAsia" w:ascii="宋体" w:hAnsi="宋体"/>
                <w:b/>
                <w:color w:val="auto"/>
                <w:sz w:val="21"/>
                <w:szCs w:val="21"/>
              </w:rPr>
              <w:t>法人代表</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bookmarkStart w:id="21" w:name="法人"/>
            <w:r>
              <w:rPr>
                <w:rFonts w:ascii="宋体" w:hAnsi="宋体"/>
                <w:b/>
                <w:color w:val="auto"/>
                <w:sz w:val="21"/>
                <w:szCs w:val="21"/>
              </w:rPr>
              <w:t>赵震宇</w:t>
            </w:r>
            <w:bookmarkEnd w:id="21"/>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r>
              <w:rPr>
                <w:rFonts w:hint="eastAsia" w:ascii="宋体" w:hAnsi="宋体"/>
                <w:b/>
                <w:color w:val="auto"/>
                <w:sz w:val="21"/>
                <w:szCs w:val="21"/>
              </w:rPr>
              <w:t>总经理</w:t>
            </w:r>
          </w:p>
        </w:tc>
        <w:tc>
          <w:tcPr>
            <w:tcW w:w="14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r>
              <w:rPr>
                <w:rFonts w:ascii="宋体" w:hAnsi="宋体"/>
                <w:b/>
                <w:color w:val="auto"/>
                <w:sz w:val="21"/>
                <w:szCs w:val="21"/>
              </w:rPr>
              <w:t>赵震宇</w:t>
            </w:r>
          </w:p>
        </w:tc>
        <w:tc>
          <w:tcPr>
            <w:tcW w:w="17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r>
              <w:rPr>
                <w:rFonts w:hint="eastAsia" w:ascii="宋体" w:hAnsi="宋体"/>
                <w:b/>
                <w:color w:val="auto"/>
                <w:sz w:val="21"/>
                <w:szCs w:val="21"/>
              </w:rPr>
              <w:t>管理者代表</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bookmarkStart w:id="22" w:name="管理者代表"/>
            <w:r>
              <w:rPr>
                <w:rFonts w:ascii="宋体"/>
                <w:b/>
                <w:color w:val="auto"/>
                <w:sz w:val="21"/>
              </w:rPr>
              <w:t>赵向南</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auto"/>
                <w:sz w:val="21"/>
                <w:szCs w:val="21"/>
              </w:rPr>
            </w:pPr>
            <w:r>
              <w:rPr>
                <w:rFonts w:hint="eastAsia" w:ascii="宋体" w:hAnsi="宋体"/>
                <w:b/>
                <w:color w:val="auto"/>
                <w:sz w:val="21"/>
                <w:szCs w:val="21"/>
              </w:rPr>
              <w:t>审核日期</w:t>
            </w:r>
          </w:p>
        </w:tc>
        <w:tc>
          <w:tcPr>
            <w:tcW w:w="279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bookmarkStart w:id="23" w:name="审核日期"/>
            <w:r>
              <w:rPr>
                <w:rFonts w:ascii="宋体" w:hAnsi="宋体"/>
                <w:b/>
                <w:color w:val="auto"/>
                <w:sz w:val="21"/>
                <w:szCs w:val="21"/>
              </w:rPr>
              <w:t>2020年05月04日 上午至2020年05月05日 上午</w:t>
            </w:r>
            <w:bookmarkEnd w:id="23"/>
          </w:p>
        </w:tc>
        <w:tc>
          <w:tcPr>
            <w:tcW w:w="14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r>
              <w:rPr>
                <w:rFonts w:hint="eastAsia" w:ascii="宋体" w:hAnsi="宋体"/>
                <w:b/>
                <w:color w:val="auto"/>
                <w:sz w:val="21"/>
                <w:szCs w:val="21"/>
              </w:rPr>
              <w:t>一体化审核</w:t>
            </w:r>
          </w:p>
        </w:tc>
        <w:tc>
          <w:tcPr>
            <w:tcW w:w="329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r>
              <w:rPr>
                <w:rFonts w:hint="eastAsia" w:ascii="宋体" w:hAnsi="宋体"/>
                <w:b/>
                <w:color w:val="auto"/>
                <w:sz w:val="21"/>
                <w:szCs w:val="21"/>
                <w:lang w:eastAsia="zh-CN"/>
              </w:rPr>
              <w:t>☑</w:t>
            </w:r>
            <w:r>
              <w:rPr>
                <w:rFonts w:hint="eastAsia" w:ascii="宋体" w:hAnsi="宋体"/>
                <w:b/>
                <w:color w:val="auto"/>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auto"/>
                <w:sz w:val="21"/>
                <w:szCs w:val="21"/>
              </w:rPr>
            </w:pPr>
            <w:r>
              <w:rPr>
                <w:rFonts w:hint="eastAsia" w:ascii="宋体" w:hAnsi="宋体"/>
                <w:b/>
                <w:color w:val="auto"/>
                <w:sz w:val="21"/>
                <w:szCs w:val="21"/>
              </w:rPr>
              <w:t>产品</w:t>
            </w:r>
            <w:r>
              <w:rPr>
                <w:rFonts w:ascii="宋体" w:hAnsi="宋体"/>
                <w:b/>
                <w:color w:val="auto"/>
                <w:sz w:val="21"/>
                <w:szCs w:val="21"/>
              </w:rPr>
              <w:t>/</w:t>
            </w:r>
            <w:r>
              <w:rPr>
                <w:rFonts w:hint="eastAsia" w:ascii="宋体" w:hAnsi="宋体"/>
                <w:b/>
                <w:color w:val="auto"/>
                <w:sz w:val="21"/>
                <w:szCs w:val="21"/>
              </w:rPr>
              <w:t>服务认证范围</w:t>
            </w:r>
          </w:p>
        </w:tc>
        <w:tc>
          <w:tcPr>
            <w:tcW w:w="758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0"/>
              </w:rPr>
            </w:pPr>
            <w:bookmarkStart w:id="24" w:name="审核范围"/>
            <w:r>
              <w:rPr>
                <w:sz w:val="20"/>
              </w:rPr>
              <w:t>E：标牌的销售所涉及场所的相关环境管理活动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r>
              <w:rPr>
                <w:sz w:val="20"/>
              </w:rPr>
              <w:t>O：标牌的销售所涉及场所的相关职业健康安全管理活动</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r>
              <w:rPr>
                <w:rFonts w:hint="eastAsia" w:ascii="宋体" w:hAnsi="宋体"/>
                <w:b/>
                <w:color w:val="auto"/>
                <w:sz w:val="21"/>
                <w:szCs w:val="21"/>
              </w:rPr>
              <w:t>是否要求变更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r>
              <w:rPr>
                <w:rFonts w:hint="eastAsia" w:ascii="宋体" w:hAnsi="宋体"/>
                <w:b/>
                <w:color w:val="auto"/>
                <w:sz w:val="21"/>
                <w:szCs w:val="21"/>
              </w:rPr>
              <w:t>□是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r>
              <w:rPr>
                <w:rFonts w:hint="eastAsia" w:ascii="宋体" w:hAnsi="宋体"/>
                <w:b/>
                <w:color w:val="auto"/>
                <w:sz w:val="21"/>
                <w:szCs w:val="21"/>
                <w:lang w:eastAsia="zh-CN"/>
              </w:rPr>
              <w:t>☑</w:t>
            </w:r>
            <w:r>
              <w:rPr>
                <w:rFonts w:hint="eastAsia" w:ascii="宋体" w:hAnsi="宋体"/>
                <w:b/>
                <w:color w:val="auto"/>
                <w:sz w:val="21"/>
                <w:szCs w:val="21"/>
              </w:rPr>
              <w:t>否</w:t>
            </w:r>
          </w:p>
        </w:tc>
        <w:tc>
          <w:tcPr>
            <w:tcW w:w="27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b/>
                <w:color w:val="auto"/>
                <w:sz w:val="21"/>
                <w:szCs w:val="21"/>
              </w:rPr>
            </w:pPr>
            <w:r>
              <w:rPr>
                <w:rFonts w:hint="eastAsia" w:ascii="宋体" w:hAnsi="宋体"/>
                <w:b/>
                <w:color w:val="auto"/>
                <w:sz w:val="21"/>
                <w:szCs w:val="21"/>
              </w:rPr>
              <w:t>变更的认证范围</w:t>
            </w:r>
            <w:r>
              <w:rPr>
                <w:rFonts w:ascii="宋体" w:hAnsi="宋体"/>
                <w:b/>
                <w:color w:val="auto"/>
                <w:sz w:val="21"/>
                <w:szCs w:val="21"/>
              </w:rPr>
              <w:t xml:space="preserve">: </w:t>
            </w:r>
          </w:p>
        </w:tc>
        <w:tc>
          <w:tcPr>
            <w:tcW w:w="329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r>
              <w:rPr>
                <w:rFonts w:hint="eastAsia" w:ascii="宋体" w:hAnsi="宋体"/>
                <w:b/>
                <w:color w:val="auto"/>
                <w:sz w:val="21"/>
                <w:szCs w:val="21"/>
              </w:rPr>
              <w:t>专业代码</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bookmarkStart w:id="25" w:name="专业代码"/>
            <w:r>
              <w:rPr>
                <w:rFonts w:ascii="宋体" w:hAnsi="宋体"/>
                <w:b/>
                <w:color w:val="auto"/>
                <w:sz w:val="21"/>
                <w:szCs w:val="21"/>
              </w:rPr>
              <w:t>E：29.12.00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r>
              <w:rPr>
                <w:rFonts w:ascii="宋体" w:hAnsi="宋体"/>
                <w:b/>
                <w:color w:val="auto"/>
                <w:sz w:val="21"/>
                <w:szCs w:val="21"/>
              </w:rPr>
              <w:t>O：29.12.00</w:t>
            </w:r>
            <w:bookmarkEnd w:id="25"/>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r>
              <w:rPr>
                <w:rFonts w:hint="eastAsia" w:ascii="宋体" w:hAnsi="宋体"/>
                <w:b/>
                <w:color w:val="auto"/>
                <w:sz w:val="21"/>
                <w:szCs w:val="21"/>
              </w:rPr>
              <w:t>证书有效期</w:t>
            </w:r>
          </w:p>
        </w:tc>
        <w:tc>
          <w:tcPr>
            <w:tcW w:w="14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b/>
                <w:color w:val="auto"/>
                <w:sz w:val="21"/>
                <w:szCs w:val="21"/>
                <w:lang w:val="en-US" w:eastAsia="zh-CN"/>
              </w:rPr>
            </w:pPr>
            <w:r>
              <w:rPr>
                <w:rFonts w:hint="eastAsia" w:ascii="宋体" w:hAnsi="宋体"/>
                <w:b/>
                <w:color w:val="auto"/>
                <w:sz w:val="21"/>
                <w:szCs w:val="21"/>
                <w:lang w:val="en-US" w:eastAsia="zh-CN"/>
              </w:rPr>
              <w:t>2020.4.23</w:t>
            </w:r>
          </w:p>
        </w:tc>
        <w:tc>
          <w:tcPr>
            <w:tcW w:w="17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b/>
                <w:color w:val="auto"/>
                <w:sz w:val="21"/>
                <w:szCs w:val="21"/>
              </w:rPr>
            </w:pPr>
            <w:r>
              <w:rPr>
                <w:rFonts w:hint="eastAsia" w:ascii="宋体" w:hAnsi="宋体"/>
                <w:b/>
                <w:color w:val="auto"/>
                <w:sz w:val="21"/>
                <w:szCs w:val="21"/>
              </w:rPr>
              <w:t>上年度审核日期</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b/>
                <w:color w:val="auto"/>
                <w:sz w:val="21"/>
              </w:rPr>
            </w:pPr>
            <w:r>
              <w:rPr>
                <w:rFonts w:hint="eastAsia" w:ascii="宋体" w:hAnsi="宋体" w:cs="Times New Roman"/>
                <w:b/>
                <w:color w:val="auto"/>
                <w:sz w:val="21"/>
                <w:szCs w:val="21"/>
              </w:rPr>
              <w:t>201</w:t>
            </w:r>
            <w:r>
              <w:rPr>
                <w:rFonts w:hint="eastAsia" w:ascii="宋体" w:hAnsi="宋体" w:cs="Times New Roman"/>
                <w:b/>
                <w:color w:val="auto"/>
                <w:sz w:val="21"/>
                <w:szCs w:val="21"/>
                <w:lang w:val="en-US" w:eastAsia="zh-CN"/>
              </w:rPr>
              <w:t>9.4.18-21</w:t>
            </w:r>
          </w:p>
        </w:tc>
      </w:tr>
    </w:tbl>
    <w:p>
      <w:pPr>
        <w:tabs>
          <w:tab w:val="left" w:pos="645"/>
        </w:tabs>
        <w:spacing w:after="163" w:afterLines="50" w:line="360" w:lineRule="exact"/>
        <w:rPr>
          <w:rFonts w:hint="eastAsia" w:eastAsia="宋体"/>
          <w:b/>
          <w:spacing w:val="-6"/>
          <w:sz w:val="16"/>
          <w:szCs w:val="16"/>
          <w:lang w:eastAsia="zh-CN"/>
        </w:rPr>
      </w:pPr>
      <w:r>
        <w:rPr>
          <w:rFonts w:hint="eastAsia"/>
          <w:b/>
          <w:sz w:val="26"/>
          <w:szCs w:val="26"/>
        </w:rPr>
        <w:t>五、审核活动安排综述</w:t>
      </w:r>
      <w:r>
        <w:rPr>
          <w:rFonts w:hint="eastAsia"/>
          <w:b/>
          <w:sz w:val="26"/>
          <w:szCs w:val="26"/>
          <w:lang w:eastAsia="zh-CN"/>
        </w:rPr>
        <w:t>（</w:t>
      </w:r>
      <w:r>
        <w:rPr>
          <w:rFonts w:hint="eastAsia"/>
          <w:b/>
          <w:sz w:val="26"/>
          <w:szCs w:val="26"/>
          <w:lang w:val="en-US" w:eastAsia="zh-CN"/>
        </w:rPr>
        <w:t>远程审核</w:t>
      </w:r>
      <w:r>
        <w:rPr>
          <w:rFonts w:hint="eastAsia"/>
          <w:b/>
          <w:sz w:val="26"/>
          <w:szCs w:val="26"/>
          <w:lang w:eastAsia="zh-CN"/>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sz w:val="21"/>
          <w:szCs w:val="21"/>
          <w:lang w:val="en-US" w:eastAsia="zh-CN"/>
        </w:rPr>
        <w:t>无</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sz w:val="20"/>
        </w:rPr>
        <w:t>标牌的销售</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b/>
          <w:sz w:val="26"/>
          <w:szCs w:val="26"/>
        </w:rPr>
        <w:t>六、审核证据及审核发现综述</w:t>
      </w:r>
      <w:r>
        <w:rPr>
          <w:rFonts w:hint="eastAsia" w:ascii="宋体" w:hAnsi="宋体" w:cs="Times New Roman"/>
          <w:b/>
          <w:color w:val="000000"/>
          <w:spacing w:val="-2"/>
          <w:kern w:val="2"/>
          <w:sz w:val="26"/>
          <w:szCs w:val="26"/>
          <w:lang w:val="en-US" w:eastAsia="zh-CN" w:bidi="ar-SA"/>
        </w:rPr>
        <w:t>（</w:t>
      </w: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eastAsia="zh-CN"/>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themeColor="text1"/>
                <w:sz w:val="21"/>
                <w:szCs w:val="21"/>
              </w:rPr>
            </w:pPr>
          </w:p>
        </w:tc>
        <w:tc>
          <w:tcPr>
            <w:tcW w:w="9198" w:type="dxa"/>
          </w:tcPr>
          <w:p>
            <w:pPr>
              <w:keepNext w:val="0"/>
              <w:keepLines w:val="0"/>
              <w:pageBreakBefore w:val="0"/>
              <w:numPr>
                <w:ilvl w:val="0"/>
                <w:numId w:val="1"/>
              </w:numPr>
              <w:kinsoku/>
              <w:wordWrap/>
              <w:overflowPunct/>
              <w:topLinePunct w:val="0"/>
              <w:autoSpaceDE/>
              <w:autoSpaceDN/>
              <w:bidi w:val="0"/>
              <w:adjustRightInd/>
              <w:snapToGrid/>
              <w:spacing w:line="360" w:lineRule="exact"/>
              <w:textAlignment w:val="auto"/>
              <w:rPr>
                <w:rFonts w:hint="eastAsia"/>
                <w:b/>
                <w:color w:val="000000" w:themeColor="text1"/>
                <w:sz w:val="21"/>
                <w:szCs w:val="21"/>
              </w:rPr>
            </w:pPr>
            <w:r>
              <w:rPr>
                <w:rFonts w:hint="eastAsia"/>
                <w:b/>
                <w:color w:val="000000" w:themeColor="text1"/>
                <w:sz w:val="21"/>
                <w:szCs w:val="21"/>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eastAsia="zh-CN"/>
              </w:rPr>
            </w:pPr>
            <w:r>
              <w:rPr>
                <w:rFonts w:hint="eastAsia"/>
                <w:sz w:val="21"/>
                <w:szCs w:val="21"/>
              </w:rPr>
              <w:t>公司确定了与</w:t>
            </w:r>
            <w:r>
              <w:rPr>
                <w:rFonts w:hint="eastAsia"/>
                <w:sz w:val="21"/>
                <w:szCs w:val="21"/>
                <w:lang w:eastAsia="zh-CN"/>
              </w:rPr>
              <w:t>环境职业健康安全</w:t>
            </w:r>
            <w:r>
              <w:rPr>
                <w:rFonts w:hint="eastAsia"/>
                <w:sz w:val="21"/>
                <w:szCs w:val="21"/>
              </w:rPr>
              <w:t>管理体系有关的相关方包括顾客、政府机构、社区、股东、供应商、内部员工等。相关方对企业的要求有：遵守国家的现行法律法规</w:t>
            </w:r>
            <w:r>
              <w:rPr>
                <w:rFonts w:hint="eastAsia"/>
                <w:sz w:val="21"/>
                <w:szCs w:val="21"/>
                <w:lang w:eastAsia="zh-CN"/>
              </w:rPr>
              <w:t>，</w:t>
            </w:r>
            <w:r>
              <w:rPr>
                <w:rFonts w:hint="eastAsia"/>
                <w:sz w:val="21"/>
                <w:szCs w:val="21"/>
              </w:rPr>
              <w:t>对环境无重大污染、</w:t>
            </w:r>
            <w:r>
              <w:rPr>
                <w:rFonts w:hint="eastAsia"/>
                <w:sz w:val="21"/>
                <w:szCs w:val="21"/>
                <w:lang w:val="en-US" w:eastAsia="zh-CN"/>
              </w:rPr>
              <w:t>对人员无重大伤害，</w:t>
            </w:r>
            <w:r>
              <w:rPr>
                <w:rFonts w:hint="eastAsia"/>
                <w:sz w:val="21"/>
                <w:szCs w:val="21"/>
              </w:rPr>
              <w:t>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val="en-US" w:eastAsia="zh-CN"/>
              </w:rPr>
              <w:t>管理</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b/>
                <w:color w:val="000000" w:themeColor="text1"/>
                <w:sz w:val="21"/>
                <w:szCs w:val="21"/>
              </w:rPr>
              <w:t>3.</w:t>
            </w:r>
            <w:r>
              <w:rPr>
                <w:rFonts w:hint="eastAsia"/>
                <w:b/>
                <w:color w:val="000000" w:themeColor="text1"/>
                <w:spacing w:val="-10"/>
                <w:sz w:val="21"/>
                <w:szCs w:val="21"/>
                <w:lang w:eastAsia="zh-CN"/>
              </w:rPr>
              <w:t>□</w:t>
            </w:r>
            <w:r>
              <w:rPr>
                <w:rFonts w:hint="eastAsia" w:ascii="宋体" w:hAnsi="宋体"/>
                <w:b/>
                <w:color w:val="000000" w:themeColor="text1"/>
                <w:sz w:val="21"/>
                <w:szCs w:val="21"/>
              </w:rPr>
              <w:t>质量/</w:t>
            </w:r>
            <w:r>
              <w:rPr>
                <w:rFonts w:hint="eastAsia"/>
                <w:b/>
                <w:color w:val="000000" w:themeColor="text1"/>
                <w:spacing w:val="-10"/>
                <w:sz w:val="21"/>
                <w:szCs w:val="21"/>
                <w:lang w:eastAsia="zh-CN"/>
              </w:rPr>
              <w:t>☑</w:t>
            </w:r>
            <w:r>
              <w:rPr>
                <w:rFonts w:hint="eastAsia" w:ascii="宋体" w:hAnsi="宋体"/>
                <w:b/>
                <w:color w:val="000000" w:themeColor="text1"/>
                <w:sz w:val="21"/>
                <w:szCs w:val="21"/>
              </w:rPr>
              <w:t>环境/</w:t>
            </w:r>
            <w:r>
              <w:rPr>
                <w:rFonts w:hint="eastAsia"/>
                <w:b/>
                <w:color w:val="000000" w:themeColor="text1"/>
                <w:spacing w:val="-10"/>
                <w:sz w:val="21"/>
                <w:szCs w:val="21"/>
                <w:lang w:eastAsia="zh-CN"/>
              </w:rPr>
              <w:t>☑</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sz w:val="21"/>
                <w:szCs w:val="21"/>
                <w:lang w:val="en-US" w:eastAsia="zh-CN"/>
              </w:rPr>
            </w:pPr>
            <w:r>
              <w:rPr>
                <w:sz w:val="21"/>
                <w:szCs w:val="21"/>
              </w:rPr>
              <w:t>1.</w:t>
            </w:r>
            <w:r>
              <w:rPr>
                <w:rFonts w:hint="eastAsia" w:cs="宋体"/>
                <w:sz w:val="21"/>
                <w:szCs w:val="21"/>
              </w:rPr>
              <w:t>管理方针：</w:t>
            </w:r>
            <w:r>
              <w:rPr>
                <w:rFonts w:hint="default" w:ascii="Times New Roman" w:hAnsi="Times New Roman" w:cs="Times New Roman"/>
                <w:sz w:val="21"/>
                <w:szCs w:val="21"/>
              </w:rPr>
              <w:t>坚持产品质量第一，确保增进顾客满意；坚持遵守法律法规，实现环保安全目标；规范企业经营管理，持续改进管理体系</w:t>
            </w:r>
            <w:r>
              <w:rPr>
                <w:rFonts w:hint="eastAsia" w:ascii="Times New Roman" w:hAnsi="Times New Roman" w:cs="Times New Roman"/>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r>
              <w:rPr>
                <w:sz w:val="21"/>
                <w:szCs w:val="21"/>
              </w:rPr>
              <w:t>2.</w:t>
            </w:r>
            <w:r>
              <w:rPr>
                <w:rFonts w:hint="eastAsia" w:cs="宋体"/>
                <w:sz w:val="21"/>
                <w:szCs w:val="21"/>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sz w:val="21"/>
                <w:szCs w:val="21"/>
              </w:rPr>
              <w:t>3.</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ascii="宋体" w:hAnsi="宋体"/>
                <w:b/>
                <w:color w:val="000000" w:themeColor="text1"/>
                <w:sz w:val="21"/>
                <w:szCs w:val="21"/>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themeColor="text1"/>
                <w:sz w:val="21"/>
                <w:szCs w:val="21"/>
              </w:rPr>
            </w:pPr>
            <w:r>
              <w:rPr>
                <w:rFonts w:hint="eastAsia"/>
                <w:b/>
                <w:color w:val="000000" w:themeColor="text1"/>
                <w:sz w:val="21"/>
                <w:szCs w:val="21"/>
                <w:lang w:val="en-US" w:eastAsia="zh-CN"/>
              </w:rPr>
              <w:t>4.</w:t>
            </w:r>
            <w:r>
              <w:rPr>
                <w:rFonts w:hint="eastAsia"/>
                <w:b/>
                <w:color w:val="000000" w:themeColor="text1"/>
                <w:sz w:val="21"/>
                <w:szCs w:val="2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eastAsia="宋体"/>
                <w:b/>
                <w:color w:val="000000" w:themeColor="text1"/>
                <w:sz w:val="21"/>
                <w:szCs w:val="21"/>
                <w:lang w:eastAsia="zh-CN"/>
              </w:rPr>
            </w:pPr>
            <w:r>
              <w:rPr>
                <w:rFonts w:hint="eastAsia"/>
                <w:sz w:val="21"/>
                <w:szCs w:val="21"/>
              </w:rPr>
              <w:t>公司</w:t>
            </w:r>
            <w:r>
              <w:rPr>
                <w:rFonts w:hint="eastAsia"/>
                <w:sz w:val="21"/>
                <w:szCs w:val="21"/>
                <w:lang w:val="en-US" w:eastAsia="zh-CN"/>
              </w:rPr>
              <w:t>编制</w:t>
            </w:r>
            <w:r>
              <w:rPr>
                <w:rFonts w:hint="eastAsia"/>
                <w:sz w:val="21"/>
                <w:szCs w:val="21"/>
              </w:rPr>
              <w:t>《</w:t>
            </w:r>
            <w:r>
              <w:rPr>
                <w:rFonts w:ascii="宋体" w:hAnsi="宋体"/>
                <w:kern w:val="0"/>
                <w:sz w:val="21"/>
                <w:szCs w:val="21"/>
              </w:rPr>
              <w:t>应对风险和机遇的措施表</w:t>
            </w:r>
            <w:r>
              <w:rPr>
                <w:rFonts w:hint="eastAsia"/>
                <w:sz w:val="21"/>
                <w:szCs w:val="21"/>
              </w:rPr>
              <w:t>》，</w:t>
            </w:r>
            <w:r>
              <w:rPr>
                <w:rFonts w:hint="eastAsia" w:ascii="Times New Roman" w:hAnsi="Times New Roman" w:cs="Times New Roman"/>
                <w:sz w:val="21"/>
                <w:szCs w:val="21"/>
                <w:u w:val="none"/>
              </w:rPr>
              <w:t>公司</w:t>
            </w:r>
            <w:r>
              <w:rPr>
                <w:rFonts w:hint="eastAsia" w:ascii="Times New Roman" w:hAnsi="Times New Roman" w:cs="Times New Roman"/>
                <w:sz w:val="21"/>
                <w:szCs w:val="21"/>
                <w:u w:val="none"/>
                <w:lang w:val="en-US" w:eastAsia="zh-CN"/>
              </w:rPr>
              <w:t>分别从顾客过程、公司内部、外部供方、外部环境等方面</w:t>
            </w:r>
            <w:r>
              <w:rPr>
                <w:rFonts w:hint="eastAsia" w:ascii="Times New Roman" w:hAnsi="Times New Roman" w:cs="Times New Roman"/>
                <w:sz w:val="21"/>
                <w:szCs w:val="21"/>
                <w:u w:val="none"/>
              </w:rPr>
              <w:t>识别了必要的风险和机遇，如：方针和目标变更的需求，</w:t>
            </w:r>
            <w:r>
              <w:rPr>
                <w:rFonts w:hint="eastAsia" w:cs="Times New Roman"/>
                <w:sz w:val="21"/>
                <w:szCs w:val="21"/>
                <w:u w:val="none"/>
                <w:lang w:val="en-US" w:eastAsia="zh-CN"/>
              </w:rPr>
              <w:t>产品</w:t>
            </w:r>
            <w:r>
              <w:rPr>
                <w:rFonts w:hint="eastAsia" w:ascii="Times New Roman" w:hAnsi="Times New Roman" w:cs="Times New Roman"/>
                <w:sz w:val="21"/>
                <w:szCs w:val="21"/>
                <w:u w:val="none"/>
              </w:rPr>
              <w:t>标准变更，原材料变更，工艺变更</w:t>
            </w:r>
            <w:r>
              <w:rPr>
                <w:rFonts w:hint="eastAsia" w:ascii="Times New Roman" w:hAnsi="Times New Roman" w:cs="Times New Roman"/>
                <w:sz w:val="21"/>
                <w:szCs w:val="21"/>
                <w:u w:val="none"/>
                <w:lang w:eastAsia="zh-CN"/>
              </w:rPr>
              <w:t>、</w:t>
            </w:r>
            <w:r>
              <w:rPr>
                <w:rFonts w:hint="eastAsia" w:ascii="Times New Roman" w:hAnsi="Times New Roman" w:cs="Times New Roman"/>
                <w:sz w:val="21"/>
                <w:szCs w:val="21"/>
                <w:u w:val="none"/>
                <w:lang w:val="en-US" w:eastAsia="zh-CN"/>
              </w:rPr>
              <w:t>法律法规变更、外部环境（包括空气 水的变化）</w:t>
            </w:r>
            <w:r>
              <w:rPr>
                <w:rFonts w:hint="eastAsia" w:ascii="Times New Roman" w:hAnsi="Times New Roman" w:cs="Times New Roman"/>
                <w:sz w:val="21"/>
                <w:szCs w:val="21"/>
                <w:u w:val="none"/>
              </w:rPr>
              <w:t>等风险，制定了相应的应对措施，制定了负责的部门和具体的实施方案，需要的资金和日程安排</w:t>
            </w:r>
            <w:r>
              <w:rPr>
                <w:rFonts w:hint="eastAsia" w:ascii="Times New Roman" w:hAnsi="Times New Roman" w:cs="Times New Roman"/>
                <w:sz w:val="21"/>
                <w:szCs w:val="21"/>
                <w:u w:val="none"/>
                <w:lang w:val="en-US" w:eastAsia="zh-CN"/>
              </w:rPr>
              <w:t>等，</w:t>
            </w:r>
            <w:r>
              <w:rPr>
                <w:rFonts w:hint="eastAsia" w:ascii="Times New Roman" w:hAnsi="Times New Roman" w:cs="Times New Roman"/>
                <w:sz w:val="21"/>
                <w:szCs w:val="21"/>
                <w:u w:val="none"/>
              </w:rPr>
              <w:t>如针对</w:t>
            </w:r>
            <w:r>
              <w:rPr>
                <w:rFonts w:hint="eastAsia" w:ascii="Times New Roman" w:hAnsi="Times New Roman" w:cs="Times New Roman"/>
                <w:sz w:val="21"/>
                <w:szCs w:val="21"/>
                <w:u w:val="none"/>
                <w:lang w:val="en-US" w:eastAsia="zh-CN"/>
              </w:rPr>
              <w:t>法律法规</w:t>
            </w:r>
            <w:r>
              <w:rPr>
                <w:rFonts w:hint="eastAsia" w:ascii="Times New Roman" w:hAnsi="Times New Roman" w:cs="Times New Roman"/>
                <w:sz w:val="21"/>
                <w:szCs w:val="21"/>
                <w:u w:val="none"/>
              </w:rPr>
              <w:t>的变更，由</w:t>
            </w:r>
            <w:r>
              <w:rPr>
                <w:rFonts w:hint="eastAsia" w:ascii="Times New Roman" w:hAnsi="Times New Roman" w:cs="Times New Roman"/>
                <w:sz w:val="21"/>
                <w:szCs w:val="21"/>
                <w:u w:val="none"/>
                <w:lang w:val="en-US" w:eastAsia="zh-CN"/>
              </w:rPr>
              <w:t>办公室</w:t>
            </w:r>
            <w:r>
              <w:rPr>
                <w:rFonts w:hint="eastAsia" w:ascii="Times New Roman" w:hAnsi="Times New Roman" w:cs="Times New Roman"/>
                <w:sz w:val="21"/>
                <w:szCs w:val="21"/>
                <w:u w:val="none"/>
                <w:lang w:eastAsia="zh-CN"/>
              </w:rPr>
              <w:t>紧密与</w:t>
            </w:r>
            <w:r>
              <w:rPr>
                <w:rFonts w:hint="eastAsia" w:ascii="Times New Roman" w:hAnsi="Times New Roman" w:cs="Times New Roman"/>
                <w:sz w:val="21"/>
                <w:szCs w:val="21"/>
                <w:u w:val="none"/>
                <w:lang w:val="en-US" w:eastAsia="zh-CN"/>
              </w:rPr>
              <w:t>行政部门</w:t>
            </w:r>
            <w:r>
              <w:rPr>
                <w:rFonts w:hint="eastAsia" w:ascii="Times New Roman" w:hAnsi="Times New Roman" w:cs="Times New Roman"/>
                <w:sz w:val="21"/>
                <w:szCs w:val="21"/>
                <w:u w:val="none"/>
                <w:lang w:eastAsia="zh-CN"/>
              </w:rPr>
              <w:t>沟通</w:t>
            </w:r>
            <w:r>
              <w:rPr>
                <w:rFonts w:hint="eastAsia" w:ascii="Times New Roman" w:hAnsi="Times New Roman" w:cs="Times New Roman"/>
                <w:sz w:val="21"/>
                <w:szCs w:val="21"/>
                <w:u w:val="none"/>
              </w:rPr>
              <w:t>，是否有更新的需求</w:t>
            </w:r>
            <w:r>
              <w:rPr>
                <w:rFonts w:hint="eastAsia" w:ascii="Times New Roman" w:hAnsi="Times New Roman" w:cs="Times New Roman"/>
                <w:sz w:val="21"/>
                <w:szCs w:val="21"/>
                <w:u w:val="none"/>
                <w:lang w:eastAsia="zh-CN"/>
              </w:rPr>
              <w:t>，</w:t>
            </w:r>
            <w:r>
              <w:rPr>
                <w:rFonts w:hint="eastAsia" w:ascii="Times New Roman" w:hAnsi="Times New Roman" w:cs="Times New Roman"/>
                <w:sz w:val="21"/>
                <w:szCs w:val="21"/>
                <w:u w:val="none"/>
                <w:lang w:val="en-US" w:eastAsia="zh-CN"/>
              </w:rPr>
              <w:t>经查</w:t>
            </w:r>
            <w:r>
              <w:rPr>
                <w:rFonts w:hint="eastAsia" w:ascii="Times New Roman" w:hAnsi="Times New Roman" w:cs="Times New Roman"/>
                <w:sz w:val="21"/>
                <w:szCs w:val="21"/>
                <w:u w:val="none"/>
              </w:rPr>
              <w:t>暂无变更需求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11" w:hangingChars="100"/>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不涉及</w:t>
            </w:r>
            <w:r>
              <w:rPr>
                <w:rFonts w:hint="eastAsia" w:ascii="宋体" w:hAnsi="宋体"/>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eastAsia="zh-CN"/>
              </w:rPr>
            </w:pPr>
            <w:r>
              <w:rPr>
                <w:rFonts w:hint="eastAsia" w:ascii="宋体" w:hAnsi="宋体"/>
                <w:sz w:val="21"/>
                <w:szCs w:val="21"/>
                <w:lang w:val="en-US" w:eastAsia="zh-CN"/>
              </w:rPr>
              <w:t>办公室组织进行了环境因素识别评价，并评价出重要环境因素，提供环境因素评价记录，目前环境因素识别基本完整，评价的重要环境因素为</w:t>
            </w:r>
            <w:r>
              <w:rPr>
                <w:rFonts w:hint="eastAsia"/>
                <w:sz w:val="21"/>
                <w:szCs w:val="21"/>
              </w:rPr>
              <w:t>废弃物排放、潜在火灾的发生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pacing w:val="-8"/>
                <w:sz w:val="21"/>
                <w:szCs w:val="21"/>
                <w:lang w:eastAsia="zh-CN"/>
              </w:rPr>
            </w:pPr>
            <w:r>
              <w:rPr>
                <w:rFonts w:hint="eastAsia" w:ascii="宋体" w:hAnsi="宋体"/>
                <w:sz w:val="21"/>
                <w:szCs w:val="21"/>
                <w:lang w:val="en-US" w:eastAsia="zh-CN"/>
              </w:rPr>
              <w:t>办公室组织进行了危险源进行识别评价，并评价出重大危险源，提供重大危险源评价记录，目前危险源识别基本完整，评价的</w:t>
            </w:r>
            <w:r>
              <w:rPr>
                <w:rFonts w:hint="eastAsia"/>
                <w:sz w:val="21"/>
                <w:szCs w:val="21"/>
              </w:rPr>
              <w:t>不可接受风险</w:t>
            </w:r>
            <w:r>
              <w:rPr>
                <w:rFonts w:hint="eastAsia"/>
                <w:sz w:val="21"/>
                <w:szCs w:val="21"/>
                <w:lang w:eastAsia="zh-CN"/>
              </w:rPr>
              <w:t>为</w:t>
            </w:r>
            <w:r>
              <w:rPr>
                <w:rFonts w:hint="eastAsia"/>
                <w:sz w:val="21"/>
                <w:szCs w:val="21"/>
                <w:u w:val="none" w:color="auto"/>
              </w:rPr>
              <w:t>触电、火灾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b/>
                <w:color w:val="000000" w:themeColor="text1"/>
                <w:sz w:val="21"/>
                <w:szCs w:val="21"/>
                <w:lang w:val="en-US" w:eastAsia="zh-CN"/>
              </w:rPr>
              <w:t>8</w:t>
            </w:r>
            <w:r>
              <w:rPr>
                <w:rFonts w:hint="eastAsia"/>
                <w:b/>
                <w:color w:val="000000" w:themeColor="text1"/>
                <w:sz w:val="21"/>
                <w:szCs w:val="21"/>
              </w:rPr>
              <w:t xml:space="preserve">. </w:t>
            </w:r>
            <w:r>
              <w:rPr>
                <w:rFonts w:hint="eastAsia" w:ascii="宋体" w:hAnsi="宋体"/>
                <w:b/>
                <w:color w:val="000000" w:themeColor="text1"/>
                <w:spacing w:val="-4"/>
                <w:sz w:val="21"/>
                <w:szCs w:val="21"/>
              </w:rPr>
              <w:t>法律法规及其他要求</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 w:val="21"/>
                <w:szCs w:val="21"/>
                <w:u w:val="single"/>
              </w:rPr>
            </w:pPr>
            <w:r>
              <w:rPr>
                <w:rFonts w:hint="eastAsia" w:ascii="宋体" w:hAnsi="宋体"/>
                <w:b w:val="0"/>
                <w:bCs/>
                <w:color w:val="000000" w:themeColor="text1"/>
                <w:sz w:val="21"/>
                <w:szCs w:val="21"/>
              </w:rPr>
              <w:t>获取法律法规项，</w:t>
            </w:r>
            <w:r>
              <w:rPr>
                <w:rFonts w:hint="eastAsia" w:ascii="宋体" w:hAnsi="宋体"/>
                <w:b w:val="0"/>
                <w:bCs/>
                <w:color w:val="000000" w:themeColor="text1"/>
                <w:sz w:val="21"/>
                <w:szCs w:val="21"/>
                <w:lang w:eastAsia="zh-CN"/>
              </w:rPr>
              <w:t>☑</w:t>
            </w:r>
            <w:r>
              <w:rPr>
                <w:rFonts w:hint="eastAsia" w:ascii="宋体" w:hAnsi="宋体"/>
                <w:b w:val="0"/>
                <w:bCs/>
                <w:color w:val="000000" w:themeColor="text1"/>
                <w:sz w:val="21"/>
                <w:szCs w:val="21"/>
              </w:rPr>
              <w:t>法律法规获取充分，□法律法规获取有遗漏，缺少</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 w:val="21"/>
                <w:szCs w:val="21"/>
              </w:rPr>
            </w:pPr>
            <w:r>
              <w:rPr>
                <w:rFonts w:hint="eastAsia" w:ascii="宋体" w:hAnsi="宋体"/>
                <w:b w:val="0"/>
                <w:bCs/>
                <w:color w:val="000000" w:themeColor="text1"/>
                <w:sz w:val="21"/>
                <w:szCs w:val="21"/>
              </w:rPr>
              <w:t>结合公司的</w:t>
            </w:r>
            <w:r>
              <w:rPr>
                <w:rFonts w:hint="eastAsia" w:ascii="宋体" w:hAnsi="宋体"/>
                <w:b w:val="0"/>
                <w:bCs/>
                <w:color w:val="000000" w:themeColor="text1"/>
                <w:sz w:val="21"/>
                <w:szCs w:val="21"/>
                <w:lang w:eastAsia="zh-CN"/>
              </w:rPr>
              <w:t>☑</w:t>
            </w:r>
            <w:r>
              <w:rPr>
                <w:rFonts w:hint="eastAsia" w:ascii="宋体" w:hAnsi="宋体"/>
                <w:b w:val="0"/>
                <w:bCs/>
                <w:color w:val="000000" w:themeColor="text1"/>
                <w:sz w:val="21"/>
                <w:szCs w:val="21"/>
              </w:rPr>
              <w:t>产品/服务</w:t>
            </w:r>
            <w:r>
              <w:rPr>
                <w:rFonts w:hint="eastAsia" w:ascii="宋体" w:hAnsi="宋体"/>
                <w:b w:val="0"/>
                <w:bCs/>
                <w:color w:val="000000" w:themeColor="text1"/>
                <w:sz w:val="21"/>
                <w:szCs w:val="21"/>
                <w:lang w:eastAsia="zh-CN"/>
              </w:rPr>
              <w:t>☑</w:t>
            </w:r>
            <w:r>
              <w:rPr>
                <w:rFonts w:hint="eastAsia" w:ascii="宋体" w:hAnsi="宋体"/>
                <w:b w:val="0"/>
                <w:bCs/>
                <w:color w:val="000000" w:themeColor="text1"/>
                <w:sz w:val="21"/>
                <w:szCs w:val="21"/>
              </w:rPr>
              <w:t>环境因素</w:t>
            </w:r>
            <w:r>
              <w:rPr>
                <w:rFonts w:hint="eastAsia" w:ascii="宋体" w:hAnsi="宋体"/>
                <w:b w:val="0"/>
                <w:bCs/>
                <w:color w:val="000000" w:themeColor="text1"/>
                <w:sz w:val="21"/>
                <w:szCs w:val="21"/>
                <w:lang w:eastAsia="zh-CN"/>
              </w:rPr>
              <w:t>☑</w:t>
            </w:r>
            <w:r>
              <w:rPr>
                <w:rFonts w:hint="eastAsia" w:ascii="宋体" w:hAnsi="宋体"/>
                <w:b w:val="0"/>
                <w:bCs/>
                <w:color w:val="000000" w:themeColor="text1"/>
                <w:sz w:val="21"/>
                <w:szCs w:val="21"/>
              </w:rPr>
              <w:t>危险源，</w:t>
            </w:r>
            <w:r>
              <w:rPr>
                <w:rFonts w:hint="eastAsia" w:ascii="宋体" w:hAnsi="宋体"/>
                <w:b w:val="0"/>
                <w:bCs/>
                <w:color w:val="000000" w:themeColor="text1"/>
                <w:sz w:val="21"/>
                <w:szCs w:val="21"/>
                <w:lang w:eastAsia="zh-CN"/>
              </w:rPr>
              <w:t>☑</w:t>
            </w:r>
            <w:r>
              <w:rPr>
                <w:rFonts w:hint="eastAsia" w:ascii="宋体" w:hAnsi="宋体"/>
                <w:b w:val="0"/>
                <w:bCs/>
                <w:color w:val="000000" w:themeColor="text1"/>
                <w:sz w:val="21"/>
                <w:szCs w:val="21"/>
              </w:rPr>
              <w:t>确定 □未确定法律法规要求的具体条款，</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 w:val="21"/>
                <w:szCs w:val="21"/>
              </w:rPr>
            </w:pPr>
            <w:r>
              <w:rPr>
                <w:rFonts w:hint="eastAsia" w:ascii="宋体" w:hAnsi="宋体"/>
                <w:b w:val="0"/>
                <w:bCs/>
                <w:color w:val="000000" w:themeColor="text1"/>
                <w:sz w:val="21"/>
                <w:szCs w:val="21"/>
              </w:rPr>
              <w:t>法律法规的宣传方式：</w:t>
            </w:r>
            <w:r>
              <w:rPr>
                <w:rFonts w:hint="eastAsia" w:ascii="宋体" w:hAnsi="宋体"/>
                <w:b w:val="0"/>
                <w:bCs/>
                <w:color w:val="000000" w:themeColor="text1"/>
                <w:sz w:val="21"/>
                <w:szCs w:val="21"/>
                <w:lang w:val="en-US" w:eastAsia="zh-CN"/>
              </w:rPr>
              <w:t>培训</w:t>
            </w:r>
          </w:p>
          <w:p>
            <w:pPr>
              <w:pStyle w:val="12"/>
              <w:keepNext w:val="0"/>
              <w:keepLines w:val="0"/>
              <w:pageBreakBefore w:val="0"/>
              <w:numPr>
                <w:ilvl w:val="0"/>
                <w:numId w:val="2"/>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b w:val="0"/>
                <w:bCs/>
                <w:color w:val="000000" w:themeColor="text1"/>
                <w:sz w:val="21"/>
                <w:szCs w:val="21"/>
              </w:rPr>
              <w:t>法律法规要求及时更新了</w:t>
            </w:r>
            <w:r>
              <w:rPr>
                <w:rFonts w:hint="eastAsia" w:ascii="宋体" w:hAnsi="宋体"/>
                <w:b w:val="0"/>
                <w:bCs/>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b/>
                <w:color w:val="000000" w:themeColor="text1"/>
                <w:sz w:val="21"/>
                <w:szCs w:val="21"/>
                <w:lang w:val="en-US" w:eastAsia="zh-CN"/>
              </w:rPr>
              <w:t>9</w:t>
            </w:r>
            <w:r>
              <w:rPr>
                <w:rFonts w:hint="eastAsia"/>
                <w:b/>
                <w:color w:val="000000" w:themeColor="text1"/>
                <w:sz w:val="21"/>
                <w:szCs w:val="21"/>
              </w:rPr>
              <w:t xml:space="preserve">. </w:t>
            </w:r>
            <w:r>
              <w:rPr>
                <w:rFonts w:hint="eastAsia" w:ascii="宋体" w:hAnsi="宋体"/>
                <w:b/>
                <w:color w:val="000000" w:themeColor="text1"/>
                <w:sz w:val="21"/>
                <w:szCs w:val="21"/>
              </w:rPr>
              <w:t>目标、方案</w:t>
            </w: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sz w:val="21"/>
                <w:szCs w:val="21"/>
              </w:rPr>
            </w:pPr>
            <w:r>
              <w:rPr>
                <w:rFonts w:hint="eastAsia" w:cs="宋体"/>
                <w:sz w:val="21"/>
                <w:szCs w:val="21"/>
              </w:rPr>
              <w:t>公司环境目标指标：1.固体废弃物100％分类处置；2.杜绝火灾事故。</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sz w:val="21"/>
                <w:szCs w:val="21"/>
              </w:rPr>
            </w:pPr>
            <w:r>
              <w:rPr>
                <w:rFonts w:hint="eastAsia" w:cs="宋体"/>
                <w:sz w:val="21"/>
                <w:szCs w:val="21"/>
              </w:rPr>
              <w:t>公司职业健康安全指标：1.杜绝死亡、重伤事故、火灾事故；2.每年轻伤事故频率控制在3起以内；3.杜绝职业病的发生。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考核一次，提供</w:t>
            </w:r>
            <w:r>
              <w:rPr>
                <w:rFonts w:hint="eastAsia"/>
                <w:sz w:val="21"/>
                <w:szCs w:val="21"/>
                <w:lang w:val="en-US" w:eastAsia="zh-CN"/>
              </w:rPr>
              <w:t>2019年、2020年目标考核记录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b/>
                <w:color w:val="000000" w:themeColor="text1"/>
                <w:sz w:val="21"/>
                <w:szCs w:val="21"/>
                <w:lang w:val="en-US" w:eastAsia="zh-CN"/>
              </w:rPr>
              <w:t>10</w:t>
            </w:r>
            <w:r>
              <w:rPr>
                <w:rFonts w:hint="eastAsia"/>
                <w:b/>
                <w:color w:val="000000" w:themeColor="text1"/>
                <w:sz w:val="21"/>
                <w:szCs w:val="21"/>
              </w:rPr>
              <w:t>.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ascii="Times New Roman" w:hAnsi="Times New Roman" w:cs="宋体"/>
                <w:sz w:val="21"/>
                <w:szCs w:val="21"/>
              </w:rPr>
              <w:t>管理体系文件由</w:t>
            </w:r>
            <w:r>
              <w:rPr>
                <w:rFonts w:hint="eastAsia" w:cs="宋体"/>
                <w:sz w:val="21"/>
                <w:szCs w:val="21"/>
                <w:lang w:eastAsia="zh-CN"/>
              </w:rPr>
              <w:t>办公室</w:t>
            </w:r>
            <w:r>
              <w:rPr>
                <w:rFonts w:hint="eastAsia" w:ascii="Times New Roman" w:hAnsi="Times New Roman" w:cs="宋体"/>
                <w:sz w:val="21"/>
                <w:szCs w:val="21"/>
              </w:rPr>
              <w:t>组织编写，总经理批准发布实施，</w:t>
            </w:r>
            <w:r>
              <w:rPr>
                <w:rFonts w:hint="eastAsia" w:cs="宋体"/>
                <w:sz w:val="21"/>
                <w:szCs w:val="21"/>
                <w:lang w:eastAsia="zh-CN"/>
              </w:rPr>
              <w:t>办公室</w:t>
            </w:r>
            <w:r>
              <w:rPr>
                <w:rFonts w:hint="eastAsia" w:ascii="Times New Roman" w:hAnsi="Times New Roman" w:cs="宋体"/>
                <w:sz w:val="21"/>
                <w:szCs w:val="21"/>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sz w:val="21"/>
                <w:szCs w:val="21"/>
                <w:lang w:eastAsia="zh-CN"/>
              </w:rPr>
              <w:t>办公室</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cs="宋体"/>
                <w:sz w:val="21"/>
                <w:szCs w:val="21"/>
                <w:lang w:eastAsia="zh-CN"/>
              </w:rPr>
              <w:t>办公室</w:t>
            </w:r>
            <w:r>
              <w:rPr>
                <w:rFonts w:hint="eastAsia" w:ascii="Times New Roman" w:hAnsi="Times New Roman" w:cs="宋体"/>
                <w:sz w:val="21"/>
                <w:szCs w:val="21"/>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ascii="宋体" w:hAnsi="宋体"/>
                <w:b/>
                <w:color w:val="000000" w:themeColor="text1"/>
                <w:sz w:val="21"/>
                <w:szCs w:val="21"/>
                <w:lang w:val="en-US" w:eastAsia="zh-CN"/>
              </w:rPr>
              <w:t>1.</w:t>
            </w:r>
            <w:r>
              <w:rPr>
                <w:rFonts w:hint="eastAsia" w:ascii="宋体" w:hAnsi="宋体"/>
                <w:b/>
                <w:color w:val="000000" w:themeColor="text1"/>
                <w:sz w:val="21"/>
                <w:szCs w:val="21"/>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1"/>
                <w:szCs w:val="21"/>
                <w:lang w:eastAsia="zh-CN"/>
              </w:rPr>
            </w:pPr>
            <w:r>
              <w:rPr>
                <w:rFonts w:hint="eastAsia"/>
                <w:sz w:val="21"/>
                <w:szCs w:val="21"/>
              </w:rPr>
              <w:t>公司共有员工</w:t>
            </w:r>
            <w:r>
              <w:rPr>
                <w:rFonts w:hint="eastAsia"/>
                <w:sz w:val="21"/>
                <w:szCs w:val="21"/>
                <w:lang w:val="en-US" w:eastAsia="zh-CN"/>
              </w:rPr>
              <w:t>10</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2.</w:t>
            </w:r>
            <w:r>
              <w:rPr>
                <w:rFonts w:hint="eastAsia" w:ascii="宋体" w:hAnsi="宋体"/>
                <w:b/>
                <w:color w:val="000000" w:themeColor="text1"/>
                <w:sz w:val="21"/>
                <w:szCs w:val="21"/>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1"/>
                <w:szCs w:val="21"/>
                <w:lang w:val="en-US" w:eastAsia="zh-CN"/>
              </w:rPr>
            </w:pPr>
            <w:r>
              <w:rPr>
                <w:rFonts w:hint="eastAsia"/>
                <w:sz w:val="21"/>
                <w:szCs w:val="21"/>
              </w:rPr>
              <w:t>配备</w:t>
            </w:r>
            <w:r>
              <w:rPr>
                <w:rFonts w:hint="eastAsia"/>
                <w:sz w:val="21"/>
                <w:szCs w:val="21"/>
              </w:rPr>
              <w:t>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w:t>
            </w:r>
            <w:r>
              <w:rPr>
                <w:rFonts w:hint="eastAsia"/>
                <w:sz w:val="21"/>
                <w:szCs w:val="21"/>
                <w:lang w:val="en-US" w:eastAsia="zh-CN"/>
              </w:rPr>
              <w:t>办公桌椅、</w:t>
            </w:r>
            <w:r>
              <w:rPr>
                <w:rFonts w:hint="eastAsia"/>
                <w:sz w:val="21"/>
                <w:szCs w:val="21"/>
                <w:lang w:eastAsia="zh-CN"/>
              </w:rPr>
              <w:t>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3.</w:t>
            </w:r>
            <w:r>
              <w:rPr>
                <w:rFonts w:hint="eastAsia" w:ascii="宋体" w:hAnsi="宋体"/>
                <w:b/>
                <w:color w:val="000000" w:themeColor="text1"/>
                <w:sz w:val="21"/>
                <w:szCs w:val="21"/>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1"/>
                <w:szCs w:val="21"/>
                <w:lang w:val="en-US" w:eastAsia="zh-CN"/>
              </w:rPr>
            </w:pPr>
            <w:r>
              <w:rPr>
                <w:rFonts w:hint="eastAsia" w:ascii="宋体" w:hAnsi="宋体"/>
                <w:sz w:val="21"/>
                <w:szCs w:val="21"/>
                <w:lang w:eastAsia="zh-CN"/>
              </w:rPr>
              <w:t>公司</w:t>
            </w:r>
            <w:r>
              <w:rPr>
                <w:rFonts w:hint="default" w:ascii="Times New Roman" w:hAnsi="Times New Roman" w:cs="Times New Roman"/>
                <w:sz w:val="21"/>
                <w:szCs w:val="21"/>
              </w:rPr>
              <w:t>办公区域面积</w:t>
            </w:r>
            <w:r>
              <w:rPr>
                <w:rFonts w:hint="eastAsia" w:ascii="Times New Roman" w:hAnsi="Times New Roman" w:cs="Times New Roman"/>
                <w:sz w:val="21"/>
                <w:szCs w:val="21"/>
                <w:lang w:val="en-US" w:eastAsia="zh-CN"/>
              </w:rPr>
              <w:t>3</w:t>
            </w:r>
            <w:r>
              <w:rPr>
                <w:rFonts w:hint="eastAsia" w:cs="Times New Roman"/>
                <w:sz w:val="21"/>
                <w:szCs w:val="21"/>
                <w:lang w:val="en-US" w:eastAsia="zh-CN"/>
              </w:rPr>
              <w:t>0</w:t>
            </w:r>
            <w:r>
              <w:rPr>
                <w:rFonts w:hint="default" w:ascii="Times New Roman" w:hAnsi="Times New Roman" w:cs="Times New Roman"/>
                <w:sz w:val="21"/>
                <w:szCs w:val="21"/>
              </w:rPr>
              <w:t>0平米；</w:t>
            </w:r>
            <w:r>
              <w:rPr>
                <w:rFonts w:hint="eastAsia" w:cs="Times New Roman"/>
                <w:sz w:val="21"/>
                <w:szCs w:val="21"/>
                <w:lang w:val="en-US" w:eastAsia="zh-CN"/>
              </w:rPr>
              <w:t>库房5</w:t>
            </w:r>
            <w:r>
              <w:rPr>
                <w:rFonts w:hint="default" w:ascii="Times New Roman" w:hAnsi="Times New Roman" w:cs="Times New Roman"/>
                <w:sz w:val="21"/>
                <w:szCs w:val="21"/>
              </w:rPr>
              <w:t>00平米，布局合理，场所卫生干净整洁，采光良好，有足够的光照度，设备布局合理，产品摆放整齐，</w:t>
            </w:r>
            <w:r>
              <w:rPr>
                <w:rFonts w:hint="default" w:ascii="Times New Roman" w:hAnsi="Times New Roman" w:cs="Times New Roman"/>
                <w:sz w:val="21"/>
                <w:szCs w:val="21"/>
                <w:lang w:eastAsia="zh-CN"/>
              </w:rPr>
              <w:t>办公、</w:t>
            </w:r>
            <w:r>
              <w:rPr>
                <w:rFonts w:hint="eastAsia" w:cs="Times New Roman"/>
                <w:sz w:val="21"/>
                <w:szCs w:val="21"/>
                <w:lang w:val="en-US" w:eastAsia="zh-CN"/>
              </w:rPr>
              <w:t>仓储</w:t>
            </w:r>
            <w:r>
              <w:rPr>
                <w:rFonts w:hint="default" w:ascii="Times New Roman" w:hAnsi="Times New Roman" w:cs="Times New Roman"/>
                <w:sz w:val="21"/>
                <w:szCs w:val="21"/>
              </w:rPr>
              <w:t>环境较好</w:t>
            </w:r>
            <w:r>
              <w:rPr>
                <w:rFonts w:hint="eastAsia" w:ascii="宋体" w:hAnsi="宋体"/>
                <w:sz w:val="21"/>
                <w:szCs w:val="21"/>
                <w:lang w:eastAsia="zh-CN"/>
              </w:rPr>
              <w:t>。</w:t>
            </w:r>
            <w:r>
              <w:rPr>
                <w:rFonts w:hint="eastAsia" w:ascii="宋体" w:hAnsi="宋体"/>
                <w:sz w:val="21"/>
                <w:szCs w:val="21"/>
                <w:lang w:val="en-US" w:eastAsia="zh-CN"/>
              </w:rPr>
              <w:t>员工</w:t>
            </w:r>
            <w:r>
              <w:rPr>
                <w:rFonts w:hint="eastAsia" w:ascii="宋体" w:hAnsi="宋体"/>
                <w:sz w:val="21"/>
                <w:szCs w:val="21"/>
                <w:lang w:eastAsia="zh-CN"/>
              </w:rPr>
              <w:t>在工作前及工作结束后能够及时清理环境及设备。工作环境得到良好的控制</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1"/>
                <w:szCs w:val="21"/>
              </w:rPr>
            </w:pPr>
            <w:r>
              <w:rPr>
                <w:rFonts w:hint="eastAsia" w:ascii="宋体" w:hAnsi="宋体"/>
                <w:b/>
                <w:color w:val="000000" w:themeColor="text1"/>
                <w:sz w:val="21"/>
                <w:szCs w:val="21"/>
                <w:lang w:val="en-US" w:eastAsia="zh-CN"/>
              </w:rPr>
              <w:t>4.</w:t>
            </w:r>
            <w:r>
              <w:rPr>
                <w:rFonts w:hint="eastAsia" w:ascii="宋体" w:hAnsi="宋体"/>
                <w:b/>
                <w:color w:val="000000" w:themeColor="text1"/>
                <w:sz w:val="21"/>
                <w:szCs w:val="21"/>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1"/>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5.</w:t>
            </w:r>
            <w:r>
              <w:rPr>
                <w:rFonts w:hint="eastAsia" w:ascii="宋体" w:hAnsi="宋体"/>
                <w:b/>
                <w:color w:val="000000" w:themeColor="text1"/>
                <w:sz w:val="21"/>
                <w:szCs w:val="21"/>
              </w:rPr>
              <w:t>知识</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1"/>
                <w:szCs w:val="21"/>
              </w:rPr>
            </w:pPr>
            <w:r>
              <w:rPr>
                <w:rFonts w:hint="eastAsia"/>
                <w:sz w:val="21"/>
                <w:szCs w:val="21"/>
              </w:rPr>
              <w:t>公司对法律法规及其他要求进行了获取，包括</w:t>
            </w:r>
            <w:r>
              <w:rPr>
                <w:rFonts w:hint="eastAsia"/>
                <w:color w:val="auto"/>
                <w:sz w:val="21"/>
                <w:szCs w:val="21"/>
                <w:lang w:val="en-US" w:eastAsia="zh-CN"/>
              </w:rPr>
              <w:t>质量法、合同法、</w:t>
            </w:r>
            <w:r>
              <w:rPr>
                <w:rFonts w:hint="eastAsia"/>
                <w:sz w:val="21"/>
                <w:szCs w:val="21"/>
              </w:rPr>
              <w:t>环境保护法</w:t>
            </w:r>
            <w:r>
              <w:rPr>
                <w:rFonts w:hint="eastAsia"/>
                <w:sz w:val="21"/>
                <w:szCs w:val="21"/>
                <w:lang w:eastAsia="zh-CN"/>
              </w:rPr>
              <w:t>、</w:t>
            </w:r>
            <w:r>
              <w:rPr>
                <w:rFonts w:hint="eastAsia"/>
                <w:sz w:val="21"/>
                <w:szCs w:val="21"/>
              </w:rPr>
              <w:t>劳动法、消防法、</w:t>
            </w:r>
            <w:r>
              <w:rPr>
                <w:rFonts w:hint="eastAsia"/>
                <w:color w:val="auto"/>
                <w:sz w:val="21"/>
                <w:szCs w:val="21"/>
                <w:u w:val="none"/>
              </w:rPr>
              <w:t>固体废弃物环境防治法</w:t>
            </w:r>
            <w:r>
              <w:rPr>
                <w:rFonts w:hint="eastAsia"/>
                <w:color w:val="auto"/>
                <w:sz w:val="21"/>
                <w:szCs w:val="21"/>
                <w:u w:val="none"/>
                <w:lang w:eastAsia="zh-CN"/>
              </w:rPr>
              <w:t>、</w:t>
            </w:r>
            <w:r>
              <w:rPr>
                <w:rFonts w:hint="eastAsia"/>
                <w:sz w:val="21"/>
                <w:szCs w:val="21"/>
              </w:rPr>
              <w:t>仓库防火安全管理</w:t>
            </w:r>
            <w:r>
              <w:rPr>
                <w:rFonts w:hint="eastAsia"/>
                <w:sz w:val="21"/>
                <w:szCs w:val="21"/>
              </w:rPr>
              <w:t>规则</w:t>
            </w:r>
            <w:r>
              <w:rPr>
                <w:rFonts w:hint="eastAsia"/>
                <w:sz w:val="21"/>
                <w:szCs w:val="21"/>
                <w:lang w:eastAsia="zh-CN"/>
              </w:rPr>
              <w:t>、</w:t>
            </w:r>
            <w:r>
              <w:rPr>
                <w:rFonts w:hint="eastAsia"/>
                <w:sz w:val="21"/>
                <w:szCs w:val="21"/>
              </w:rPr>
              <w:t>劳动保护用品管理规定</w:t>
            </w:r>
            <w:r>
              <w:rPr>
                <w:rFonts w:hint="eastAsia"/>
                <w:sz w:val="21"/>
                <w:szCs w:val="21"/>
                <w:lang w:val="en-US" w:eastAsia="zh-CN"/>
              </w:rPr>
              <w:t>、</w:t>
            </w:r>
            <w:r>
              <w:rPr>
                <w:rFonts w:hint="eastAsia"/>
                <w:sz w:val="21"/>
                <w:szCs w:val="21"/>
                <w:u w:val="none" w:color="auto"/>
                <w:lang w:val="en-US" w:eastAsia="zh-CN"/>
              </w:rPr>
              <w:t>GB/T24001-2016《环境管理体系 要求及使用指南》、ISO45001：2018《职业健康安全管理体系 要求及使用指南》</w:t>
            </w:r>
            <w:r>
              <w:rPr>
                <w:rFonts w:hint="eastAsia" w:cs="宋体"/>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1"/>
                <w:szCs w:val="21"/>
                <w:lang w:val="en-US" w:eastAsia="zh-CN"/>
              </w:rPr>
            </w:pPr>
            <w:r>
              <w:rPr>
                <w:rFonts w:hint="eastAsia" w:ascii="宋体" w:hAnsi="宋体"/>
                <w:b/>
                <w:color w:val="000000" w:themeColor="text1"/>
                <w:sz w:val="21"/>
                <w:szCs w:val="21"/>
                <w:lang w:val="en-US" w:eastAsia="zh-CN"/>
              </w:rPr>
              <w:t>6.</w:t>
            </w:r>
            <w:r>
              <w:rPr>
                <w:rFonts w:hint="eastAsia" w:ascii="宋体" w:hAnsi="宋体"/>
                <w:b/>
                <w:color w:val="000000" w:themeColor="text1"/>
                <w:sz w:val="21"/>
                <w:szCs w:val="21"/>
              </w:rPr>
              <w:t>环保设施：</w:t>
            </w:r>
            <w:r>
              <w:rPr>
                <w:rFonts w:hint="eastAsia" w:ascii="宋体" w:hAnsi="宋体"/>
                <w:b/>
                <w:color w:val="000000" w:themeColor="text1"/>
                <w:sz w:val="21"/>
                <w:szCs w:val="21"/>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1"/>
                <w:szCs w:val="21"/>
                <w:lang w:val="en-US" w:eastAsia="zh-CN"/>
              </w:rPr>
            </w:pPr>
            <w:r>
              <w:rPr>
                <w:rFonts w:hint="eastAsia" w:ascii="宋体" w:hAnsi="宋体"/>
                <w:b/>
                <w:color w:val="000000" w:themeColor="text1"/>
                <w:sz w:val="21"/>
                <w:szCs w:val="21"/>
                <w:lang w:val="en-US" w:eastAsia="zh-CN"/>
              </w:rPr>
              <w:t>7.</w:t>
            </w:r>
            <w:r>
              <w:rPr>
                <w:rFonts w:hint="eastAsia" w:ascii="宋体" w:hAnsi="宋体"/>
                <w:b/>
                <w:color w:val="000000" w:themeColor="text1"/>
                <w:sz w:val="21"/>
                <w:szCs w:val="21"/>
              </w:rPr>
              <w:t>职业健康安全设施：</w:t>
            </w:r>
            <w:r>
              <w:rPr>
                <w:rFonts w:hint="eastAsia" w:ascii="宋体" w:hAnsi="宋体"/>
                <w:b/>
                <w:color w:val="000000" w:themeColor="text1"/>
                <w:sz w:val="21"/>
                <w:szCs w:val="21"/>
                <w:lang w:val="en-US" w:eastAsia="zh-CN"/>
              </w:rPr>
              <w:t>警示牌、灭火器、手套、口罩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r>
              <w:rPr>
                <w:rFonts w:hint="eastAsia"/>
                <w:b/>
                <w:color w:val="000000" w:themeColor="text1"/>
                <w:sz w:val="21"/>
                <w:szCs w:val="21"/>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1"/>
                <w:szCs w:val="21"/>
              </w:rPr>
            </w:pPr>
            <w:r>
              <w:rPr>
                <w:rFonts w:hint="eastAsia"/>
                <w:b/>
                <w:color w:val="000000" w:themeColor="text1"/>
                <w:sz w:val="21"/>
                <w:szCs w:val="21"/>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sz w:val="21"/>
                <w:szCs w:val="21"/>
                <w:lang w:val="en-US" w:eastAsia="zh-CN"/>
              </w:rPr>
            </w:pPr>
            <w:r>
              <w:rPr>
                <w:sz w:val="21"/>
                <w:szCs w:val="21"/>
              </w:rPr>
              <w:t>1.</w:t>
            </w:r>
            <w:r>
              <w:rPr>
                <w:rFonts w:hint="eastAsia" w:cs="宋体"/>
                <w:sz w:val="21"/>
                <w:szCs w:val="21"/>
              </w:rPr>
              <w:t>管理方针：</w:t>
            </w:r>
            <w:r>
              <w:rPr>
                <w:rFonts w:hint="default" w:ascii="Times New Roman" w:hAnsi="Times New Roman" w:cs="Times New Roman"/>
                <w:sz w:val="21"/>
                <w:szCs w:val="21"/>
              </w:rPr>
              <w:t>坚持产品质量第一，确保增进顾客满意；坚持遵守法律法规，实现环保安全目标；规范企业经营管理，持续改进管理体系</w:t>
            </w:r>
            <w:r>
              <w:rPr>
                <w:rFonts w:hint="eastAsia" w:cs="宋体"/>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r>
              <w:rPr>
                <w:sz w:val="21"/>
                <w:szCs w:val="21"/>
              </w:rPr>
              <w:t xml:space="preserve">2. </w:t>
            </w:r>
            <w:r>
              <w:rPr>
                <w:rFonts w:hint="eastAsia" w:cs="宋体"/>
                <w:sz w:val="21"/>
                <w:szCs w:val="21"/>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1"/>
                <w:szCs w:val="21"/>
              </w:rPr>
            </w:pPr>
            <w:r>
              <w:rPr>
                <w:sz w:val="21"/>
                <w:szCs w:val="21"/>
              </w:rPr>
              <w:t xml:space="preserve">3. </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67" w:hangingChars="79"/>
              <w:textAlignment w:val="auto"/>
              <w:rPr>
                <w:rFonts w:ascii="楷体_GB2312" w:eastAsia="楷体_GB2312"/>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sz w:val="21"/>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r>
              <w:rPr>
                <w:rFonts w:hint="eastAsia" w:ascii="楷体_GB2312" w:eastAsia="楷体_GB2312"/>
                <w:b/>
                <w:color w:val="000000" w:themeColor="text1"/>
                <w:sz w:val="21"/>
                <w:szCs w:val="21"/>
                <w:lang w:val="en-US" w:eastAsia="zh-CN"/>
              </w:rPr>
              <w:t>与</w:t>
            </w:r>
            <w:r>
              <w:rPr>
                <w:rFonts w:hint="eastAsia" w:ascii="宋体" w:hAnsi="宋体"/>
                <w:sz w:val="21"/>
                <w:szCs w:val="21"/>
              </w:rPr>
              <w:t>上级主管部门的沟通，目前沟通都较为顺畅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r>
              <w:rPr>
                <w:rFonts w:hint="eastAsia" w:ascii="宋体" w:hAnsi="宋体"/>
                <w:sz w:val="21"/>
                <w:szCs w:val="21"/>
              </w:rPr>
              <w:t>外部沟通：文件、电话、面谈、传真等，主要与顾客、供方、上级主管部门的沟通，目前各项沟通都较为顺畅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3.  QMS 组织对重要过程实施控制的结果(包括对QMS关键工序(过程)、特殊过程控制;评价组织对过程实施控制情况/)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jc w:val="left"/>
              <w:textAlignment w:val="auto"/>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1"/>
                <w:szCs w:val="21"/>
              </w:rPr>
            </w:pPr>
            <w:r>
              <w:rPr>
                <w:rFonts w:hint="eastAsia"/>
                <w:b/>
                <w:color w:val="000000" w:themeColor="text1"/>
                <w:sz w:val="21"/>
                <w:szCs w:val="21"/>
              </w:rPr>
              <w:t>(应说明相关证据)：</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60" w:lineRule="exact"/>
              <w:ind w:firstLine="207" w:firstLineChars="98"/>
              <w:textAlignment w:val="auto"/>
              <w:rPr>
                <w:rFonts w:hint="eastAsia"/>
                <w:b/>
                <w:color w:val="000000" w:themeColor="text1"/>
                <w:sz w:val="21"/>
                <w:szCs w:val="21"/>
              </w:rPr>
            </w:pPr>
            <w:r>
              <w:rPr>
                <w:rFonts w:hint="eastAsia"/>
                <w:b/>
                <w:color w:val="000000" w:themeColor="text1"/>
                <w:sz w:val="21"/>
                <w:szCs w:val="21"/>
              </w:rPr>
              <w:t>（附相关证据）：</w:t>
            </w:r>
          </w:p>
          <w:p>
            <w:pPr>
              <w:keepNext w:val="0"/>
              <w:keepLines w:val="0"/>
              <w:pageBreakBefore w:val="0"/>
              <w:kinsoku/>
              <w:wordWrap/>
              <w:overflowPunct/>
              <w:topLinePunct w:val="0"/>
              <w:autoSpaceDE/>
              <w:autoSpaceDN/>
              <w:bidi w:val="0"/>
              <w:adjustRightInd/>
              <w:snapToGrid/>
              <w:spacing w:line="360" w:lineRule="exact"/>
              <w:ind w:firstLine="207" w:firstLineChars="98"/>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eastAsia="zh-CN"/>
              </w:rPr>
            </w:pPr>
            <w:r>
              <w:rPr>
                <w:rFonts w:hint="eastAsia"/>
                <w:sz w:val="21"/>
                <w:szCs w:val="21"/>
              </w:rPr>
              <w:t>对于</w:t>
            </w:r>
            <w:r>
              <w:rPr>
                <w:rFonts w:hint="eastAsia"/>
                <w:sz w:val="21"/>
                <w:szCs w:val="21"/>
                <w:lang w:val="en-US" w:eastAsia="zh-CN"/>
              </w:rPr>
              <w:t>不合格项</w:t>
            </w:r>
            <w:r>
              <w:rPr>
                <w:rFonts w:hint="eastAsia"/>
                <w:sz w:val="21"/>
                <w:szCs w:val="21"/>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7.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eastAsia="zh-CN"/>
              </w:rPr>
            </w:pPr>
            <w:r>
              <w:rPr>
                <w:rFonts w:hint="eastAsia"/>
                <w:sz w:val="21"/>
                <w:szCs w:val="21"/>
                <w:lang w:val="en-US" w:eastAsia="zh-CN"/>
              </w:rPr>
              <w:t>编制</w:t>
            </w:r>
            <w:r>
              <w:rPr>
                <w:rFonts w:hint="eastAsia"/>
                <w:sz w:val="21"/>
                <w:szCs w:val="21"/>
              </w:rPr>
              <w:t>环境因素识别评价与控制程序</w:t>
            </w:r>
            <w:r>
              <w:rPr>
                <w:rFonts w:hint="eastAsia"/>
                <w:b w:val="0"/>
                <w:bCs w:val="0"/>
                <w:sz w:val="21"/>
                <w:szCs w:val="21"/>
                <w:lang w:eastAsia="zh-CN"/>
              </w:rPr>
              <w:t>、</w:t>
            </w:r>
            <w:r>
              <w:rPr>
                <w:rFonts w:hint="eastAsia"/>
                <w:sz w:val="21"/>
                <w:szCs w:val="21"/>
              </w:rPr>
              <w:t>运行控制程序</w:t>
            </w:r>
            <w:r>
              <w:rPr>
                <w:rFonts w:hint="eastAsia"/>
                <w:sz w:val="21"/>
                <w:szCs w:val="21"/>
                <w:lang w:eastAsia="zh-CN"/>
              </w:rPr>
              <w:t>、</w:t>
            </w:r>
            <w:r>
              <w:rPr>
                <w:rFonts w:hint="eastAsia"/>
                <w:b w:val="0"/>
                <w:bCs w:val="0"/>
                <w:sz w:val="21"/>
                <w:szCs w:val="21"/>
              </w:rPr>
              <w:t>固体废弃物管理控制程序、对相关方施加影响控制程序、安全管理制度等，针对各部门所负责的工作，分别对环境运行过程进行控制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涉及有固废处置、资源控制、火灾、相关方施加影响等。查看办公区域干净整洁，配置灭火器等消防设施</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b/>
                <w:color w:val="000000" w:themeColor="text1"/>
                <w:sz w:val="21"/>
                <w:szCs w:val="21"/>
              </w:rPr>
            </w:pPr>
            <w:r>
              <w:rPr>
                <w:rFonts w:hint="eastAsia"/>
                <w:b/>
                <w:color w:val="000000" w:themeColor="text1"/>
                <w:sz w:val="21"/>
                <w:szCs w:val="21"/>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b/>
                <w:color w:val="000000" w:themeColor="text1"/>
                <w:sz w:val="21"/>
                <w:szCs w:val="21"/>
                <w:lang w:val="en-US"/>
              </w:rPr>
            </w:pPr>
            <w:r>
              <w:rPr>
                <w:rFonts w:hint="eastAsia"/>
                <w:b w:val="0"/>
                <w:bCs w:val="0"/>
                <w:sz w:val="21"/>
                <w:szCs w:val="21"/>
                <w:lang w:val="en-GB"/>
              </w:rPr>
              <w:t>编制</w:t>
            </w:r>
            <w:r>
              <w:rPr>
                <w:rFonts w:hint="eastAsia"/>
                <w:sz w:val="21"/>
                <w:szCs w:val="21"/>
              </w:rPr>
              <w:t>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 w:val="21"/>
                <w:szCs w:val="21"/>
                <w:lang w:val="zh-CN"/>
              </w:rPr>
              <w:t>、</w:t>
            </w:r>
            <w:r>
              <w:rPr>
                <w:rFonts w:hint="eastAsia"/>
                <w:b w:val="0"/>
                <w:bCs w:val="0"/>
                <w:sz w:val="21"/>
                <w:szCs w:val="21"/>
                <w:lang w:val="en-GB"/>
              </w:rPr>
              <w:t>对相关方施加影响控制程序、安全管理制度等，针对各部门所负责的工作，对危险源进行控制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物体打击、车辆</w:t>
            </w:r>
            <w:r>
              <w:rPr>
                <w:rFonts w:hint="eastAsia"/>
                <w:b w:val="0"/>
                <w:bCs w:val="0"/>
                <w:sz w:val="21"/>
                <w:szCs w:val="21"/>
                <w:lang w:val="en-GB"/>
              </w:rPr>
              <w:t>伤害</w:t>
            </w:r>
            <w:r>
              <w:rPr>
                <w:rFonts w:hint="eastAsia"/>
                <w:b w:val="0"/>
                <w:bCs w:val="0"/>
                <w:sz w:val="21"/>
                <w:szCs w:val="21"/>
              </w:rPr>
              <w:t>、相关方施加影响等进行控制，具体措施有对员工进行安全教育，发放劳保用品，对相关方进行告知</w:t>
            </w:r>
            <w:r>
              <w:rPr>
                <w:rFonts w:hint="eastAsia"/>
                <w:b w:val="0"/>
                <w:bCs w:val="0"/>
                <w:sz w:val="21"/>
                <w:szCs w:val="21"/>
                <w:lang w:eastAsia="zh-CN"/>
              </w:rPr>
              <w:t>。</w:t>
            </w:r>
            <w:r>
              <w:rPr>
                <w:rFonts w:hint="eastAsia"/>
                <w:b w:val="0"/>
                <w:bCs w:val="0"/>
                <w:sz w:val="21"/>
                <w:szCs w:val="21"/>
              </w:rPr>
              <w:t>查看办公区域干净整洁，配置灭火器等消防设施</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11" w:hangingChars="100"/>
              <w:textAlignment w:val="auto"/>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1"/>
                <w:szCs w:val="21"/>
              </w:rPr>
            </w:pPr>
            <w:r>
              <w:rPr>
                <w:rFonts w:hint="eastAsia" w:ascii="宋体" w:hAnsi="宋体"/>
                <w:bCs/>
                <w:color w:val="auto"/>
                <w:sz w:val="21"/>
                <w:szCs w:val="21"/>
                <w:u w:val="none" w:color="auto"/>
                <w:lang w:eastAsia="zh-CN"/>
              </w:rPr>
              <w:t>编制应急准备和响应控制程序，识别的潜在意外紧急情况为火灾、触电等。编制了应急预案—包括火灾、触电应急预案，经查问办公室组织了应急演练，提供了应急预案演练记录。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 xml:space="preserve">10.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1"/>
                <w:szCs w:val="21"/>
              </w:rPr>
            </w:pPr>
            <w:r>
              <w:rPr>
                <w:rFonts w:hint="eastAsia"/>
                <w:b/>
                <w:color w:val="000000" w:themeColor="text1"/>
                <w:sz w:val="21"/>
                <w:szCs w:val="21"/>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1"/>
                <w:szCs w:val="21"/>
                <w:lang w:val="en-US" w:eastAsia="zh-CN"/>
              </w:rPr>
            </w:pPr>
            <w:r>
              <w:rPr>
                <w:rFonts w:hint="eastAsia"/>
                <w:b w:val="0"/>
                <w:bCs/>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r>
              <w:rPr>
                <w:rFonts w:hint="eastAsia"/>
                <w:b/>
                <w:color w:val="000000" w:themeColor="text1"/>
                <w:sz w:val="2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5" w:hangingChars="50"/>
              <w:textAlignment w:val="auto"/>
              <w:rPr>
                <w:b/>
                <w:color w:val="000000" w:themeColor="text1"/>
                <w:sz w:val="21"/>
                <w:szCs w:val="21"/>
              </w:rPr>
            </w:pPr>
            <w:r>
              <w:rPr>
                <w:rFonts w:hint="eastAsia"/>
                <w:b/>
                <w:color w:val="000000" w:themeColor="text1"/>
                <w:sz w:val="21"/>
                <w:szCs w:val="21"/>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w:t>
            </w:r>
            <w:r>
              <w:rPr>
                <w:rFonts w:hint="eastAsia"/>
                <w:sz w:val="21"/>
                <w:szCs w:val="21"/>
              </w:rPr>
              <w:t>年</w:t>
            </w:r>
            <w:r>
              <w:rPr>
                <w:rFonts w:hint="eastAsia"/>
                <w:sz w:val="21"/>
                <w:szCs w:val="21"/>
                <w:lang w:eastAsia="zh-CN"/>
              </w:rPr>
              <w:t>、</w:t>
            </w:r>
            <w:r>
              <w:rPr>
                <w:rFonts w:hint="eastAsia"/>
                <w:sz w:val="21"/>
                <w:szCs w:val="21"/>
                <w:lang w:val="en-US" w:eastAsia="zh-CN"/>
              </w:rPr>
              <w:t>2020年</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60" w:lineRule="exact"/>
              <w:ind w:left="100" w:hanging="105" w:hangingChars="50"/>
              <w:textAlignment w:val="auto"/>
              <w:rPr>
                <w:rFonts w:hint="eastAsia"/>
                <w:b/>
                <w:color w:val="000000" w:themeColor="text1"/>
                <w:sz w:val="21"/>
                <w:szCs w:val="21"/>
              </w:rPr>
            </w:pPr>
            <w:r>
              <w:rPr>
                <w:rFonts w:hint="eastAsia"/>
                <w:b/>
                <w:color w:val="000000" w:themeColor="text1"/>
                <w:sz w:val="21"/>
                <w:szCs w:val="21"/>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sz w:val="21"/>
                <w:szCs w:val="21"/>
              </w:rPr>
              <w:t>按照策划的安排于</w:t>
            </w:r>
            <w:r>
              <w:rPr>
                <w:sz w:val="21"/>
                <w:szCs w:val="21"/>
              </w:rPr>
              <w:t>20</w:t>
            </w:r>
            <w:r>
              <w:rPr>
                <w:rFonts w:hint="eastAsia"/>
                <w:sz w:val="21"/>
                <w:szCs w:val="21"/>
                <w:lang w:val="en-US" w:eastAsia="zh-CN"/>
              </w:rPr>
              <w:t>20年1月10-11日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eastAsia="zh-CN"/>
              </w:rPr>
            </w:pPr>
            <w:r>
              <w:rPr>
                <w:rFonts w:hint="eastAsia"/>
                <w:sz w:val="21"/>
                <w:szCs w:val="21"/>
              </w:rPr>
              <w:t>按照策划的安排于</w:t>
            </w:r>
            <w:r>
              <w:rPr>
                <w:sz w:val="21"/>
                <w:szCs w:val="21"/>
              </w:rPr>
              <w:t>20</w:t>
            </w:r>
            <w:r>
              <w:rPr>
                <w:rFonts w:hint="eastAsia"/>
                <w:sz w:val="21"/>
                <w:szCs w:val="21"/>
                <w:lang w:val="en-US" w:eastAsia="zh-CN"/>
              </w:rPr>
              <w:t>20</w:t>
            </w:r>
            <w:r>
              <w:rPr>
                <w:rFonts w:hint="eastAsia" w:cs="宋体"/>
                <w:sz w:val="21"/>
                <w:szCs w:val="21"/>
              </w:rPr>
              <w:t>年</w:t>
            </w:r>
            <w:r>
              <w:rPr>
                <w:rFonts w:hint="eastAsia"/>
                <w:sz w:val="21"/>
                <w:szCs w:val="21"/>
                <w:lang w:val="en-US" w:eastAsia="zh-CN"/>
              </w:rPr>
              <w:t>1</w:t>
            </w:r>
            <w:r>
              <w:rPr>
                <w:rFonts w:hint="eastAsia" w:cs="宋体"/>
                <w:sz w:val="21"/>
                <w:szCs w:val="21"/>
              </w:rPr>
              <w:t>月</w:t>
            </w:r>
            <w:r>
              <w:rPr>
                <w:rFonts w:hint="eastAsia" w:cs="宋体"/>
                <w:sz w:val="21"/>
                <w:szCs w:val="21"/>
                <w:lang w:val="en-US" w:eastAsia="zh-CN"/>
              </w:rPr>
              <w:t>1</w:t>
            </w:r>
            <w:r>
              <w:rPr>
                <w:rFonts w:hint="eastAsia"/>
                <w:sz w:val="21"/>
                <w:szCs w:val="21"/>
                <w:lang w:val="en-US" w:eastAsia="zh-CN"/>
              </w:rPr>
              <w:t>8</w:t>
            </w:r>
            <w:r>
              <w:rPr>
                <w:rFonts w:hint="eastAsia" w:cs="宋体"/>
                <w:sz w:val="21"/>
                <w:szCs w:val="21"/>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hint="eastAsia"/>
                <w:b/>
                <w:color w:val="000000" w:themeColor="text1"/>
                <w:sz w:val="21"/>
                <w:szCs w:val="21"/>
              </w:rPr>
            </w:pPr>
            <w:r>
              <w:rPr>
                <w:rFonts w:hint="eastAsia"/>
                <w:b/>
                <w:color w:val="000000" w:themeColor="text1"/>
                <w:sz w:val="21"/>
                <w:szCs w:val="21"/>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val="0"/>
                <w:bCs/>
                <w:color w:val="000000" w:themeColor="text1"/>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Borders>
              <w:bottom w:val="single" w:color="auto" w:sz="4" w:space="0"/>
            </w:tcBorders>
          </w:tcPr>
          <w:p>
            <w:pPr>
              <w:keepNext w:val="0"/>
              <w:keepLines w:val="0"/>
              <w:pageBreakBefore w:val="0"/>
              <w:widowControl/>
              <w:numPr>
                <w:ilvl w:val="0"/>
                <w:numId w:val="6"/>
              </w:numPr>
              <w:kinsoku/>
              <w:wordWrap/>
              <w:overflowPunct/>
              <w:topLinePunct w:val="0"/>
              <w:autoSpaceDE/>
              <w:autoSpaceDN/>
              <w:bidi w:val="0"/>
              <w:adjustRightInd/>
              <w:snapToGrid/>
              <w:spacing w:line="360" w:lineRule="exact"/>
              <w:textAlignment w:val="auto"/>
              <w:rPr>
                <w:rFonts w:hint="eastAsia"/>
                <w:b/>
                <w:color w:val="000000" w:themeColor="text1"/>
                <w:sz w:val="21"/>
                <w:szCs w:val="21"/>
              </w:rPr>
            </w:pPr>
            <w:r>
              <w:rPr>
                <w:rFonts w:hint="eastAsia"/>
                <w:b/>
                <w:color w:val="000000" w:themeColor="text1"/>
                <w:sz w:val="21"/>
                <w:szCs w:val="21"/>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4"/>
              </w:numPr>
              <w:kinsoku/>
              <w:wordWrap/>
              <w:overflowPunct/>
              <w:topLinePunct w:val="0"/>
              <w:autoSpaceDE/>
              <w:autoSpaceDN/>
              <w:bidi w:val="0"/>
              <w:adjustRightInd/>
              <w:snapToGrid/>
              <w:spacing w:line="360" w:lineRule="exact"/>
              <w:ind w:left="105" w:leftChars="0" w:hanging="105" w:hangingChars="50"/>
              <w:textAlignment w:val="auto"/>
              <w:rPr>
                <w:rFonts w:hint="eastAsia" w:ascii="宋体" w:hAnsi="宋体"/>
                <w:b/>
                <w:sz w:val="21"/>
                <w:szCs w:val="21"/>
              </w:rPr>
            </w:pPr>
            <w:r>
              <w:rPr>
                <w:rFonts w:hint="eastAsia" w:ascii="宋体" w:hAnsi="宋体"/>
                <w:b/>
                <w:sz w:val="21"/>
                <w:szCs w:val="21"/>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Times New Roman"/>
                <w:b/>
                <w:kern w:val="2"/>
                <w:sz w:val="21"/>
                <w:szCs w:val="21"/>
                <w:lang w:val="en-US" w:eastAsia="zh-CN" w:bidi="ar-SA"/>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4"/>
              </w:numPr>
              <w:kinsoku/>
              <w:wordWrap/>
              <w:overflowPunct/>
              <w:topLinePunct w:val="0"/>
              <w:autoSpaceDE/>
              <w:autoSpaceDN/>
              <w:bidi w:val="0"/>
              <w:adjustRightInd/>
              <w:snapToGrid/>
              <w:spacing w:line="360" w:lineRule="exact"/>
              <w:ind w:left="105" w:leftChars="0" w:hanging="105" w:hangingChars="50"/>
              <w:textAlignment w:val="auto"/>
              <w:rPr>
                <w:rFonts w:hint="eastAsia" w:ascii="宋体" w:hAnsi="宋体"/>
                <w:b/>
                <w:sz w:val="21"/>
                <w:szCs w:val="21"/>
              </w:rPr>
            </w:pPr>
            <w:r>
              <w:rPr>
                <w:rFonts w:hint="eastAsia" w:ascii="宋体" w:hAnsi="宋体"/>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Times New Roman"/>
                <w:b/>
                <w:kern w:val="2"/>
                <w:sz w:val="21"/>
                <w:szCs w:val="21"/>
                <w:lang w:val="en-US" w:eastAsia="zh-CN" w:bidi="ar-SA"/>
              </w:rPr>
            </w:pPr>
            <w:r>
              <w:rPr>
                <w:rFonts w:hint="eastAsia"/>
                <w:color w:val="auto"/>
                <w:sz w:val="21"/>
                <w:szCs w:val="21"/>
              </w:rPr>
              <w:t>上次审核发现的不符合项</w:t>
            </w:r>
            <w:r>
              <w:rPr>
                <w:rFonts w:hint="eastAsia"/>
                <w:color w:val="auto"/>
                <w:sz w:val="21"/>
                <w:szCs w:val="21"/>
                <w:lang w:eastAsia="zh-CN"/>
              </w:rPr>
              <w:t>为</w:t>
            </w:r>
            <w:r>
              <w:rPr>
                <w:rFonts w:hint="eastAsia"/>
                <w:color w:val="auto"/>
                <w:sz w:val="21"/>
                <w:szCs w:val="21"/>
                <w:lang w:val="en-US" w:eastAsia="zh-CN"/>
              </w:rPr>
              <w:t>办公室GB/T28001-2011标准4.4.2/4.4.7条款、GB/T24001-2016标准7.3/8.2条款，</w:t>
            </w:r>
            <w:r>
              <w:rPr>
                <w:rFonts w:hint="eastAsia"/>
                <w:color w:val="auto"/>
                <w:sz w:val="21"/>
                <w:szCs w:val="21"/>
              </w:rPr>
              <w:t>相关责任部门对</w:t>
            </w:r>
            <w:r>
              <w:rPr>
                <w:rFonts w:hint="eastAsia"/>
                <w:color w:val="auto"/>
                <w:sz w:val="21"/>
                <w:szCs w:val="21"/>
                <w:lang w:eastAsia="zh-CN"/>
              </w:rPr>
              <w:t>其</w:t>
            </w:r>
            <w:r>
              <w:rPr>
                <w:rFonts w:hint="eastAsia"/>
                <w:color w:val="auto"/>
                <w:sz w:val="21"/>
                <w:szCs w:val="21"/>
              </w:rPr>
              <w:t>进行了原因分析，制定并采取了</w:t>
            </w:r>
            <w:r>
              <w:rPr>
                <w:rFonts w:hint="eastAsia"/>
                <w:color w:val="auto"/>
                <w:sz w:val="21"/>
                <w:szCs w:val="21"/>
                <w:lang w:eastAsia="zh-CN"/>
              </w:rPr>
              <w:t>纠正及</w:t>
            </w:r>
            <w:r>
              <w:rPr>
                <w:rFonts w:hint="eastAsia"/>
                <w:color w:val="auto"/>
                <w:sz w:val="21"/>
                <w:szCs w:val="21"/>
              </w:rPr>
              <w:t>纠正措施，</w:t>
            </w:r>
            <w:r>
              <w:rPr>
                <w:rFonts w:hint="eastAsia"/>
                <w:color w:val="auto"/>
                <w:sz w:val="21"/>
                <w:szCs w:val="21"/>
                <w:lang w:val="en-US" w:eastAsia="zh-CN"/>
              </w:rPr>
              <w:t>本次审核未发生类似问题，采取的纠正措施有效。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tabs>
          <w:tab w:val="left" w:pos="645"/>
        </w:tabs>
        <w:spacing w:after="163" w:afterLines="50" w:line="360" w:lineRule="exact"/>
        <w:ind w:firstLine="522" w:firstLineChars="200"/>
        <w:rPr>
          <w:rFonts w:hint="eastAsia"/>
          <w:b/>
          <w:sz w:val="26"/>
          <w:szCs w:val="26"/>
        </w:rPr>
      </w:pPr>
      <w:r>
        <w:rPr>
          <w:rFonts w:hint="eastAsia"/>
          <w:b/>
          <w:sz w:val="26"/>
          <w:szCs w:val="26"/>
        </w:rPr>
        <w:t>本次审核共开具不符合项报告项</w:t>
      </w:r>
      <w:r>
        <w:rPr>
          <w:rFonts w:hint="eastAsia"/>
          <w:b/>
          <w:sz w:val="26"/>
          <w:szCs w:val="26"/>
          <w:lang w:eastAsia="zh-CN"/>
        </w:rPr>
        <w:t>：</w:t>
      </w:r>
      <w:r>
        <w:rPr>
          <w:rFonts w:hint="eastAsia"/>
          <w:b/>
          <w:sz w:val="26"/>
          <w:szCs w:val="26"/>
        </w:rPr>
        <w:t>其中</w:t>
      </w:r>
      <w:r>
        <w:pict>
          <v:line id="直接连接符 1" o:spid="_x0000_s1029" o:spt="20" style="position:absolute;left:0pt;margin-left:210pt;margin-top:16.2pt;height:0pt;width:0.05pt;z-index:251660288;mso-width-relative:page;mso-height-relative:page;" coordsize="21600,21600" o:allowincell="f">
            <v:path arrowok="t"/>
            <v:fill focussize="0,0"/>
            <v:stroke/>
            <v:imagedata o:title=""/>
            <o:lock v:ext="edit"/>
          </v:line>
        </w:pict>
      </w:r>
      <w:r>
        <w:rPr>
          <w:rFonts w:hint="eastAsia"/>
          <w:b/>
          <w:sz w:val="26"/>
          <w:szCs w:val="26"/>
        </w:rPr>
        <w:t>严重不符合</w:t>
      </w:r>
      <w:r>
        <w:rPr>
          <w:b/>
          <w:sz w:val="26"/>
          <w:szCs w:val="26"/>
          <w:u w:val="single"/>
        </w:rPr>
        <w:t xml:space="preserve">  </w:t>
      </w:r>
      <w:r>
        <w:rPr>
          <w:rFonts w:hint="eastAsia"/>
          <w:b/>
          <w:sz w:val="26"/>
          <w:szCs w:val="26"/>
          <w:u w:val="single"/>
          <w:lang w:val="en-US" w:eastAsia="zh-CN"/>
        </w:rPr>
        <w:t>0</w:t>
      </w:r>
      <w:r>
        <w:rPr>
          <w:b/>
          <w:sz w:val="26"/>
          <w:szCs w:val="26"/>
          <w:u w:val="single"/>
        </w:rPr>
        <w:t xml:space="preserve">  </w:t>
      </w:r>
      <w:r>
        <w:rPr>
          <w:rFonts w:hint="eastAsia"/>
          <w:b/>
          <w:sz w:val="26"/>
          <w:szCs w:val="26"/>
        </w:rPr>
        <w:t>项，一般不符合</w:t>
      </w:r>
      <w:r>
        <w:rPr>
          <w:b/>
          <w:sz w:val="26"/>
          <w:szCs w:val="26"/>
          <w:u w:val="single"/>
        </w:rPr>
        <w:t xml:space="preserve">  </w:t>
      </w:r>
      <w:r>
        <w:rPr>
          <w:rFonts w:hint="eastAsia"/>
          <w:b/>
          <w:sz w:val="26"/>
          <w:szCs w:val="26"/>
          <w:u w:val="single"/>
          <w:lang w:val="en-US" w:eastAsia="zh-CN"/>
        </w:rPr>
        <w:t>0</w:t>
      </w:r>
      <w:r>
        <w:rPr>
          <w:b/>
          <w:sz w:val="26"/>
          <w:szCs w:val="26"/>
          <w:u w:val="single"/>
        </w:rPr>
        <w:t xml:space="preserve">  </w:t>
      </w:r>
      <w:r>
        <w:rPr>
          <w:rFonts w:hint="eastAsia"/>
          <w:b/>
          <w:sz w:val="26"/>
          <w:szCs w:val="26"/>
        </w:rPr>
        <w:t>项，观察项</w:t>
      </w:r>
      <w:r>
        <w:rPr>
          <w:b/>
          <w:sz w:val="26"/>
          <w:szCs w:val="26"/>
          <w:u w:val="single"/>
        </w:rPr>
        <w:t xml:space="preserve">  </w:t>
      </w:r>
      <w:r>
        <w:rPr>
          <w:rFonts w:hint="eastAsia"/>
          <w:b/>
          <w:sz w:val="26"/>
          <w:szCs w:val="26"/>
          <w:u w:val="single"/>
          <w:lang w:val="en-US" w:eastAsia="zh-CN"/>
        </w:rPr>
        <w:t>0</w:t>
      </w:r>
      <w:r>
        <w:rPr>
          <w:b/>
          <w:sz w:val="26"/>
          <w:szCs w:val="26"/>
          <w:u w:val="single"/>
        </w:rPr>
        <w:t xml:space="preserve">  </w:t>
      </w:r>
      <w:r>
        <w:rPr>
          <w:rFonts w:hint="eastAsia"/>
          <w:b/>
          <w:sz w:val="26"/>
          <w:szCs w:val="26"/>
        </w:rPr>
        <w:t>项。（</w:t>
      </w:r>
      <w:r>
        <w:rPr>
          <w:b/>
          <w:sz w:val="26"/>
          <w:szCs w:val="26"/>
        </w:rPr>
        <w:t>Q/J/E/S</w:t>
      </w:r>
      <w:r>
        <w:rPr>
          <w:rFonts w:hint="eastAsia"/>
          <w:b/>
          <w:sz w:val="26"/>
          <w:szCs w:val="26"/>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EMS</w:t>
            </w:r>
            <w:r>
              <w:rPr>
                <w:rFonts w:hint="eastAsia" w:ascii="宋体" w:hAnsi="宋体"/>
                <w:b/>
                <w:szCs w:val="21"/>
                <w:lang w:eastAsia="zh-CN"/>
              </w:rPr>
              <w:t>☑</w:t>
            </w:r>
            <w:r>
              <w:rPr>
                <w:rFonts w:ascii="宋体" w:hAnsi="宋体"/>
                <w:b/>
                <w:szCs w:val="21"/>
              </w:rPr>
              <w:t>OHSMS</w:t>
            </w:r>
            <w:r>
              <w:rPr>
                <w:rFonts w:hint="eastAsia"/>
                <w:b/>
                <w:sz w:val="26"/>
                <w:szCs w:val="26"/>
                <w:lang w:val="en-US" w:eastAsia="zh-CN"/>
              </w:rPr>
              <w:t>具有</w:t>
            </w:r>
            <w:r>
              <w:rPr>
                <w:rFonts w:hint="eastAsia"/>
                <w:b/>
                <w:sz w:val="26"/>
                <w:szCs w:val="26"/>
              </w:rPr>
              <w:t>适宜性、充分性、有效性，自我完善机制等，管理体系满足适用要求和实现预期结果的能力</w:t>
            </w:r>
            <w:r>
              <w:rPr>
                <w:rFonts w:hint="eastAsia" w:ascii="宋体" w:hAnsi="宋体"/>
                <w:b/>
                <w:szCs w:val="21"/>
              </w:rPr>
              <w:t>。</w:t>
            </w:r>
          </w:p>
          <w:p>
            <w:pPr>
              <w:pStyle w:val="14"/>
              <w:keepNext w:val="0"/>
              <w:keepLines w:val="0"/>
              <w:pageBreakBefore w:val="0"/>
              <w:widowControl w:val="0"/>
              <w:kinsoku/>
              <w:wordWrap/>
              <w:overflowPunct/>
              <w:topLinePunct w:val="0"/>
              <w:bidi w:val="0"/>
              <w:snapToGrid/>
              <w:spacing w:line="360" w:lineRule="exact"/>
              <w:ind w:left="1453" w:right="0" w:rightChars="0" w:hanging="1033"/>
              <w:textAlignment w:val="auto"/>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b/>
                <w:color w:val="000000"/>
                <w:sz w:val="22"/>
                <w:szCs w:val="22"/>
                <w:u w:val="single"/>
                <w:lang w:eastAsia="zh-CN"/>
              </w:rPr>
              <w:t>任丘市泰美标牌有限公司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4"/>
              <w:keepNext w:val="0"/>
              <w:keepLines w:val="0"/>
              <w:pageBreakBefore w:val="0"/>
              <w:widowControl w:val="0"/>
              <w:kinsoku/>
              <w:wordWrap/>
              <w:overflowPunct/>
              <w:topLinePunct w:val="0"/>
              <w:bidi w:val="0"/>
              <w:snapToGrid/>
              <w:spacing w:line="360" w:lineRule="exact"/>
              <w:ind w:left="1441" w:right="0" w:rightChars="0"/>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val="en-US" w:eastAsia="zh-CN"/>
              </w:rPr>
              <w:t xml:space="preserve"> </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hint="eastAsia" w:ascii="宋体" w:hAnsi="宋体" w:eastAsia="宋体"/>
                <w:b/>
                <w:szCs w:val="21"/>
                <w:lang w:eastAsia="zh-CN"/>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tabs>
          <w:tab w:val="left" w:pos="645"/>
        </w:tabs>
        <w:spacing w:after="163" w:afterLines="50" w:line="360" w:lineRule="exact"/>
        <w:rPr>
          <w:rFonts w:hint="eastAsia" w:ascii="Times New Roman" w:hAnsi="Times New Roman" w:cs="Times New Roman"/>
          <w:b/>
          <w:sz w:val="26"/>
          <w:szCs w:val="26"/>
        </w:rPr>
      </w:pPr>
    </w:p>
    <w:p>
      <w:pPr>
        <w:tabs>
          <w:tab w:val="left" w:pos="645"/>
        </w:tabs>
        <w:spacing w:after="163" w:afterLines="50" w:line="360" w:lineRule="exact"/>
        <w:rPr>
          <w:rFonts w:hint="eastAsia" w:ascii="Times New Roman" w:hAnsi="Times New Roman" w:cs="Times New Roman"/>
          <w:b/>
          <w:sz w:val="26"/>
          <w:szCs w:val="26"/>
        </w:rPr>
      </w:pPr>
      <w:r>
        <w:rPr>
          <w:rFonts w:hint="eastAsia" w:ascii="Times New Roman" w:hAnsi="Times New Roman" w:cs="Times New Roman"/>
          <w:b/>
          <w:sz w:val="26"/>
          <w:szCs w:val="26"/>
        </w:rPr>
        <w:t>十一、任何影响审核方案的重要事项</w:t>
      </w:r>
    </w:p>
    <w:p>
      <w:pPr>
        <w:tabs>
          <w:tab w:val="left" w:pos="645"/>
        </w:tabs>
        <w:spacing w:after="163" w:afterLines="50" w:line="360" w:lineRule="exact"/>
        <w:rPr>
          <w:b/>
          <w:sz w:val="16"/>
          <w:szCs w:val="16"/>
        </w:rPr>
      </w:pPr>
      <w:r>
        <w:drawing>
          <wp:anchor distT="0" distB="0" distL="114300" distR="114300" simplePos="0" relativeHeight="251661312" behindDoc="0" locked="0" layoutInCell="1" allowOverlap="1">
            <wp:simplePos x="0" y="0"/>
            <wp:positionH relativeFrom="column">
              <wp:posOffset>1647190</wp:posOffset>
            </wp:positionH>
            <wp:positionV relativeFrom="paragraph">
              <wp:posOffset>92075</wp:posOffset>
            </wp:positionV>
            <wp:extent cx="1156335" cy="467995"/>
            <wp:effectExtent l="0" t="0" r="12065"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rFonts w:hint="eastAsia" w:eastAsia="宋体"/>
          <w:b/>
          <w:sz w:val="21"/>
          <w:lang w:val="en-US" w:eastAsia="zh-CN"/>
        </w:rPr>
      </w:pPr>
      <w:r>
        <w:rPr>
          <w:rFonts w:hint="eastAsia"/>
          <w:b/>
          <w:sz w:val="21"/>
        </w:rPr>
        <w:t>审核组组员（签名）：</w:t>
      </w:r>
      <w:r>
        <w:rPr>
          <w:rFonts w:hint="eastAsia"/>
          <w:b/>
          <w:sz w:val="21"/>
          <w:lang w:val="en-US" w:eastAsia="zh-CN"/>
        </w:rPr>
        <w:t>/</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2020.5.5</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bookmarkStart w:id="26" w:name="_GoBack"/>
      <w:bookmarkEnd w:id="26"/>
      <w:r>
        <w:rPr>
          <w:rFonts w:hint="eastAsia"/>
          <w:b/>
          <w:sz w:val="21"/>
          <w:szCs w:val="21"/>
          <w:lang w:eastAsia="zh-CN"/>
        </w:rPr>
        <w:t>☑</w:t>
      </w:r>
      <w:r>
        <w:rPr>
          <w:b/>
          <w:sz w:val="21"/>
          <w:szCs w:val="21"/>
        </w:rPr>
        <w:t>OHSMS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eastAsia"/>
          <w:b/>
          <w:sz w:val="21"/>
          <w:szCs w:val="21"/>
        </w:rPr>
      </w:pPr>
      <w:r>
        <w:drawing>
          <wp:anchor distT="0" distB="0" distL="114300" distR="114300" simplePos="0" relativeHeight="251662336" behindDoc="0" locked="0" layoutInCell="1" allowOverlap="1">
            <wp:simplePos x="0" y="0"/>
            <wp:positionH relativeFrom="column">
              <wp:posOffset>1197610</wp:posOffset>
            </wp:positionH>
            <wp:positionV relativeFrom="paragraph">
              <wp:posOffset>145415</wp:posOffset>
            </wp:positionV>
            <wp:extent cx="1156335" cy="467995"/>
            <wp:effectExtent l="0" t="0" r="1206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日期：2020.5.5</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7"/>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7"/>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rFonts w:hint="eastAsia"/>
          <w:b/>
          <w:sz w:val="21"/>
          <w:lang w:val="en-US" w:eastAsia="zh-CN"/>
        </w:rPr>
        <w:t xml:space="preserve">              </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napToGrid w:val="0"/>
        <w:jc w:val="left"/>
        <w:rPr>
          <w:rFonts w:hint="eastAsia" w:ascii="宋体" w:hAnsi="宋体"/>
          <w:b/>
          <w:sz w:val="26"/>
          <w:szCs w:val="26"/>
        </w:rPr>
      </w:pPr>
    </w:p>
    <w:p>
      <w:pPr>
        <w:snapToGrid w:val="0"/>
        <w:jc w:val="left"/>
        <w:rPr>
          <w:rFonts w:ascii="方正仿宋简体" w:eastAsia="方正仿宋简体"/>
          <w:b/>
        </w:rPr>
      </w:pPr>
      <w:r>
        <w:rPr>
          <w:rFonts w:hint="eastAsia" w:ascii="宋体" w:hAnsi="宋体"/>
          <w:b/>
          <w:sz w:val="26"/>
          <w:szCs w:val="26"/>
        </w:rPr>
        <w:t>十八、</w:t>
      </w:r>
      <w:r>
        <w:rPr>
          <w:rFonts w:hint="eastAsia" w:ascii="宋体" w:hAnsi="宋体" w:cs="Times New Roman"/>
          <w:b/>
          <w:sz w:val="26"/>
          <w:szCs w:val="26"/>
        </w:rPr>
        <w:t>审核基于对可获得信息的抽样过程的免责声明</w:t>
      </w:r>
    </w:p>
    <w:p>
      <w:pPr>
        <w:snapToGrid w:val="0"/>
        <w:ind w:firstLine="354" w:firstLineChars="147"/>
        <w:jc w:val="left"/>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sectPr>
      <w:headerReference r:id="rId3" w:type="default"/>
      <w:pgSz w:w="11906" w:h="16838"/>
      <w:pgMar w:top="1440" w:right="1077" w:bottom="1440" w:left="1083"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F73FC62"/>
    <w:multiLevelType w:val="singleLevel"/>
    <w:tmpl w:val="5F73FC62"/>
    <w:lvl w:ilvl="0" w:tentative="0">
      <w:start w:val="9"/>
      <w:numFmt w:val="decimal"/>
      <w:suff w:val="space"/>
      <w:lvlText w:val="%1."/>
      <w:lvlJc w:val="left"/>
    </w:lvl>
  </w:abstractNum>
  <w:abstractNum w:abstractNumId="6">
    <w:nsid w:val="7BC294AD"/>
    <w:multiLevelType w:val="singleLevel"/>
    <w:tmpl w:val="7BC294AD"/>
    <w:lvl w:ilvl="0" w:tentative="0">
      <w:start w:val="5"/>
      <w:numFmt w:val="decimal"/>
      <w:suff w:val="space"/>
      <w:lvlText w:val="%1."/>
      <w:lvlJc w:val="left"/>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CE3C70"/>
    <w:rsid w:val="208D1904"/>
    <w:rsid w:val="307E4998"/>
    <w:rsid w:val="337355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semiHidden/>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4</TotalTime>
  <ScaleCrop>false</ScaleCrop>
  <LinksUpToDate>false</LinksUpToDate>
  <CharactersWithSpaces>4386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至鱼</cp:lastModifiedBy>
  <cp:lastPrinted>2019-04-18T08:15:00Z</cp:lastPrinted>
  <dcterms:modified xsi:type="dcterms:W3CDTF">2020-05-18T07:42:44Z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