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37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7"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73"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受审核部门：综合部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含财务</w:t>
            </w:r>
            <w:r>
              <w:rPr>
                <w:rFonts w:hint="eastAsia" w:ascii="宋体" w:hAnsi="宋体" w:eastAsia="宋体" w:cs="宋体"/>
                <w:sz w:val="21"/>
                <w:szCs w:val="21"/>
                <w:lang w:eastAsia="zh-CN"/>
              </w:rPr>
              <w:t>）</w:t>
            </w:r>
            <w:r>
              <w:rPr>
                <w:rFonts w:hint="eastAsia" w:ascii="宋体" w:hAnsi="宋体" w:eastAsia="宋体" w:cs="宋体"/>
                <w:sz w:val="21"/>
                <w:szCs w:val="21"/>
              </w:rPr>
              <w:t xml:space="preserve">     主管领导：张金凤       陪同人员：豆亚涛</w:t>
            </w:r>
          </w:p>
        </w:tc>
        <w:tc>
          <w:tcPr>
            <w:tcW w:w="1585" w:type="dxa"/>
            <w:vMerge w:val="restart"/>
            <w:vAlign w:val="center"/>
          </w:tcPr>
          <w:p>
            <w:pPr>
              <w:ind w:firstLine="210" w:firstLineChars="100"/>
              <w:rPr>
                <w:sz w:val="24"/>
                <w:szCs w:val="24"/>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47" w:type="dxa"/>
            <w:vMerge w:val="continue"/>
            <w:vAlign w:val="center"/>
          </w:tcPr>
          <w:p>
            <w:pPr>
              <w:spacing w:line="360" w:lineRule="auto"/>
              <w:rPr>
                <w:rFonts w:hint="eastAsia" w:ascii="宋体" w:hAnsi="宋体" w:eastAsia="宋体" w:cs="宋体"/>
                <w:sz w:val="21"/>
                <w:szCs w:val="21"/>
              </w:rPr>
            </w:pPr>
          </w:p>
        </w:tc>
        <w:tc>
          <w:tcPr>
            <w:tcW w:w="1373"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审核员：李俐       审核时间：2020年0</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07</w:t>
            </w:r>
            <w:r>
              <w:rPr>
                <w:rFonts w:hint="eastAsia" w:ascii="宋体" w:hAnsi="宋体" w:eastAsia="宋体" w:cs="宋体"/>
                <w:sz w:val="21"/>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7" w:type="dxa"/>
            <w:vMerge w:val="continue"/>
            <w:vAlign w:val="center"/>
          </w:tcPr>
          <w:p>
            <w:pPr>
              <w:spacing w:line="360" w:lineRule="auto"/>
              <w:rPr>
                <w:rFonts w:hint="eastAsia" w:ascii="宋体" w:hAnsi="宋体" w:eastAsia="宋体" w:cs="宋体"/>
                <w:sz w:val="21"/>
                <w:szCs w:val="21"/>
              </w:rPr>
            </w:pPr>
          </w:p>
        </w:tc>
        <w:tc>
          <w:tcPr>
            <w:tcW w:w="1373"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pStyle w:val="14"/>
              <w:spacing w:line="36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 </w:t>
            </w:r>
          </w:p>
          <w:p>
            <w:pPr>
              <w:pStyle w:val="14"/>
              <w:spacing w:line="36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E/OMS:6.1.2环境因素/危险源的辨识与评价、6.1.3合规义务、6.1.4措施的策划、8.1运行策划和控制、9.1监视、测量、分析和评价（9.1.1总则、9.1.2合规性评价）、8.2应急准备和响应,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7" w:type="dxa"/>
            <w:vAlign w:val="center"/>
          </w:tcPr>
          <w:p>
            <w:pPr>
              <w:spacing w:line="360" w:lineRule="auto"/>
              <w:rPr>
                <w:rFonts w:hint="eastAsia" w:ascii="宋体" w:hAnsi="宋体" w:eastAsia="宋体" w:cs="宋体"/>
              </w:rPr>
            </w:pPr>
            <w:r>
              <w:rPr>
                <w:rFonts w:hint="eastAsia" w:ascii="宋体" w:hAnsi="宋体" w:eastAsia="宋体" w:cs="宋体"/>
                <w:szCs w:val="21"/>
              </w:rPr>
              <w:t>组织的岗位、职责权限</w:t>
            </w:r>
          </w:p>
        </w:tc>
        <w:tc>
          <w:tcPr>
            <w:tcW w:w="1373" w:type="dxa"/>
            <w:vAlign w:val="center"/>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QES5.3</w:t>
            </w:r>
          </w:p>
          <w:p>
            <w:pPr>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部门负责人：张金凤</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远程</w:t>
            </w:r>
            <w:r>
              <w:rPr>
                <w:rFonts w:hint="eastAsia" w:ascii="宋体" w:hAnsi="宋体" w:eastAsia="宋体" w:cs="宋体"/>
                <w:sz w:val="21"/>
                <w:szCs w:val="21"/>
              </w:rPr>
              <w:t>询问主要职责：建立公司人事制度，并组织实施；建立公司行政制度，并组织实施；人力资源管理制度，并组织实施；负责员工的聘用、培训和考核，建立员工人事档案（包含员工的教育、培训、技能、经历等记录），适时组织公司各部门的有关人员进行培训；维持办公场所、作业现场的清洁卫生，对作业人员的职业卫生进行管理；负责所有受控文件的发放和管理并指导各部门进行文件管理；负责质量记录的管理，建立记录清单；负责信息交流和沟通，负责内部审核组织工作，负责编制年度内审计划和内审报告。负责组织辨识和评价公司的环境因素、危险源，对办公区的环境因素、危险源进行控制管理方面的工作等多项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手册中职能分配表已经明确规定。基本无变化。</w:t>
            </w:r>
          </w:p>
          <w:p>
            <w:pPr>
              <w:spacing w:line="360" w:lineRule="auto"/>
              <w:rPr>
                <w:rFonts w:hint="eastAsia" w:ascii="宋体" w:hAnsi="宋体" w:eastAsia="宋体" w:cs="宋体"/>
              </w:rPr>
            </w:pPr>
            <w:r>
              <w:rPr>
                <w:rFonts w:hint="eastAsia" w:ascii="宋体" w:hAnsi="宋体" w:eastAsia="宋体" w:cs="宋体"/>
                <w:sz w:val="21"/>
                <w:szCs w:val="21"/>
              </w:rPr>
              <w:t>职责明确，回答基本正确，沟通顺畅。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47"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目标、指标管理方案</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rPr>
            </w:pPr>
          </w:p>
        </w:tc>
        <w:tc>
          <w:tcPr>
            <w:tcW w:w="137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QES6.2  </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部门目标：                           2020年3月考核情况</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人员培训合格率100%</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100%</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文件发放率100%</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100%</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固体废弃物分类率100%；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100%</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消除火灾隐患，火灾发生率为0。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r>
              <w:rPr>
                <w:rFonts w:hint="eastAsia" w:ascii="宋体" w:hAnsi="宋体" w:eastAsia="宋体" w:cs="宋体"/>
                <w:sz w:val="21"/>
                <w:szCs w:val="21"/>
              </w:rPr>
              <w:tab/>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环境体系建立了管理方案，查管理方案表，共2项：</w:t>
            </w:r>
          </w:p>
          <w:p>
            <w:pPr>
              <w:numPr>
                <w:ilvl w:val="0"/>
                <w:numId w:val="2"/>
              </w:numPr>
              <w:spacing w:line="360" w:lineRule="auto"/>
              <w:rPr>
                <w:rFonts w:hint="eastAsia" w:ascii="宋体" w:hAnsi="宋体" w:eastAsia="宋体" w:cs="宋体"/>
                <w:sz w:val="21"/>
                <w:szCs w:val="21"/>
              </w:rPr>
            </w:pPr>
            <w:r>
              <w:rPr>
                <w:rFonts w:hint="eastAsia" w:ascii="宋体" w:hAnsi="宋体" w:eastAsia="宋体" w:cs="宋体"/>
                <w:sz w:val="21"/>
                <w:szCs w:val="21"/>
              </w:rPr>
              <w:t>办公用硒鼓、墨盒等固废；油漆等包装物等分类收集保管，交由相应部门处置；</w:t>
            </w:r>
          </w:p>
          <w:p>
            <w:pPr>
              <w:numPr>
                <w:ilvl w:val="0"/>
                <w:numId w:val="2"/>
              </w:numPr>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杜绝火灾发生，制定了1、制定完善的管理制度，加强员工消防安全、应急响应知识培训，定期进行检查</w:t>
            </w:r>
            <w:r>
              <w:rPr>
                <w:rFonts w:hint="eastAsia" w:ascii="宋体" w:hAnsi="宋体" w:eastAsia="宋体" w:cs="宋体"/>
                <w:sz w:val="21"/>
                <w:szCs w:val="21"/>
                <w:lang w:eastAsia="zh-CN"/>
              </w:rPr>
              <w:t>；</w:t>
            </w:r>
          </w:p>
          <w:p>
            <w:pPr>
              <w:numPr>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办公现场设置固定吸烟场所等3项管理措施并更新9个灭火器。资金投入、执行部门：各部门，检查人：豆亚涛，执行日期：2019年9月至2020年3月。考核日期2020.3.31目标指标管理方案基本适宜，能够完成。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职业健康安全体系建立了管理方案，查管理方案表，共1项：1、杜绝火灾发生，制定了3项管理措施。预算、执行部门：各部门，检查人：豆亚涛，执行日期：2019年9月至2020年9月。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上述目标、2020年3月，考核结果：全部达标，考核人：豆亚涛。</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4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风险和机遇应对措施及策划</w:t>
            </w:r>
          </w:p>
        </w:tc>
        <w:tc>
          <w:tcPr>
            <w:tcW w:w="137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QES6.1</w:t>
            </w:r>
          </w:p>
          <w:p>
            <w:pPr>
              <w:spacing w:line="360" w:lineRule="auto"/>
              <w:rPr>
                <w:rFonts w:hint="default" w:ascii="宋体" w:hAnsi="宋体" w:eastAsia="宋体" w:cs="宋体"/>
                <w:sz w:val="21"/>
                <w:szCs w:val="21"/>
                <w:lang w:val="en-US" w:eastAsia="zh-CN"/>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制定《应对风险和机遇控制程序》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风险与机遇评价与应对策划表”，按照音体美器材、教学仪器、训练健身器材、学生课桌椅床、办公家具、厨房设备、音响设备、幼儿玩教具（国家禁止经营的除外）的销售等过程/部门对风险和机遇进行了评价识别，并制定应对措施。如外部因素、管理体系策划过程、顾客关系管理过程订单管理过程、外部提供的过程产品和服务（含外包）的控制和验证过程、施工提供控制、力资源管理过程、文件化信息管理过程、分析、评价与改进过程等。应急管理过程人员管理过程中出现的岗位人员突然离岗多人；员工能力、不能满足岗位需求；员工思想波动，工作不安心等风险共识别15项内容，新增加了疫情影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措施是：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噪声、废气、废水污染防治控制程序、固体废弃物污染防治控制程序、环境监测和测量控制程序/制定目标、环境信息沟通控制程序、资源、能源节约控制程序/制定目标、应急准备与响应控制程序、应急预案/制定目标等，针对疫情的影响采取的积极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识别人：张玉虎、孙凤蝶等，审核：孙凤蝶  2019.9.18，批准：豆胜怀。</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风险和机遇识别基本充分，应对风险和机遇的措施基本适宜。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4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环境因素、危险源识别</w:t>
            </w:r>
          </w:p>
        </w:tc>
        <w:tc>
          <w:tcPr>
            <w:tcW w:w="137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QES</w:t>
            </w:r>
          </w:p>
          <w:p>
            <w:pPr>
              <w:spacing w:line="360" w:lineRule="auto"/>
              <w:rPr>
                <w:rFonts w:hint="eastAsia" w:ascii="宋体" w:hAnsi="宋体" w:eastAsia="宋体" w:cs="宋体"/>
                <w:sz w:val="21"/>
                <w:szCs w:val="21"/>
              </w:rPr>
            </w:pPr>
            <w:r>
              <w:rPr>
                <w:rFonts w:hint="eastAsia" w:ascii="宋体" w:hAnsi="宋体" w:eastAsia="宋体" w:cs="宋体"/>
                <w:sz w:val="21"/>
                <w:szCs w:val="21"/>
              </w:rPr>
              <w:t>6.1.2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编制了《环境因素的识别与评价控制程序》《危险源辩识、风险评价和风险控制策划程序》符合标准要求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通过定性判断法，共识别出重大环境因素2项。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对重要环境因素的控制措施包括制定管理制度、监督检查、应急预案、培训等。提供《重要环境因素识别清单》，其中综合部涉及的重要环境因素：固体废弃物排放、意外火灾的发生，评价基本合理。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识别的“危险源识别、风险评价表”识别出危险源，评价内容：序号，作业、活动点，潜在的危害因素，可能导致的事故，作业条件危险性评价，危险等级，是否不可接受风险，现有控制措施等。识别人：豆亚涛等，审核：豆亚涛 2019.9.18，批准：豆胜怀。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涉及的危险源有：计算机辐射，设备损坏漏电引起触电、火灾；电磁辐射人身损害；车辆意外事故等等。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提供的：“危险源识别与风险评价表”“不可接受风险源清单”， 评价考虑了将来、状态、可能导致的事件，并进行了评价，用打分法考虑了法规符合性、发生频次、影响范围等, 通过是非法，共识别出不可接受风险1项，涉及：火灾，评价符合程序要求及公司的实际情况。针对疫情的影响采取的积极措施。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对危险源的控制措施包括制定管理制度、监督检查、应急预案、培训等。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4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合规义务、法律法规及其他要求；合规性评价</w:t>
            </w:r>
          </w:p>
        </w:tc>
        <w:tc>
          <w:tcPr>
            <w:tcW w:w="137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ES6.1.3</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r>
              <w:rPr>
                <w:rFonts w:hint="eastAsia" w:ascii="宋体" w:hAnsi="宋体" w:eastAsia="宋体" w:cs="宋体"/>
                <w:sz w:val="21"/>
                <w:szCs w:val="21"/>
                <w:lang w:val="en-US" w:eastAsia="zh-CN"/>
              </w:rPr>
              <w:t>9.1.2</w:t>
            </w:r>
          </w:p>
          <w:p>
            <w:pPr>
              <w:pStyle w:val="2"/>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根据《法律法规和其他要求获取与识别控制程序》要求，崔海雷随时对法律法规的更新进行跟踪，并进行补充。于2019年12月6日识别了法律法规清单。获取渠道，网络和期刊等。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法律法规和其他要求清单》收集的环境和安全法律法规《中华人民共和国安全生产法》、《中华人民共和国节约能源法》《中华人民共和国环境保护法》等,由豆亚涛负责组织对公司法律法规及要求遵守程度进行评价，评价日期2019年12月26日。提供了《法律法规和其他要求合规性评价报告》《中华人民共和国卫生防疫法》等组织进行合规性的评价。包括：中华人民共和国安全生产法、中华人民共和国消防法、中华人民共和国环境保护法、中华人民共和国节约能源法、产品质量法等，识别基本全面。评价结论：合规。评价人：豆亚涛、张金凤、赵越鑫等，批准：豆胜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明确了法律法规及其他要求对公司环境因素、危险源的应用，明确了相应的适用条款。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4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人员、能力、培训</w:t>
            </w:r>
          </w:p>
        </w:tc>
        <w:tc>
          <w:tcPr>
            <w:tcW w:w="137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Q7.1.2</w:t>
            </w:r>
          </w:p>
          <w:p>
            <w:pPr>
              <w:spacing w:line="360" w:lineRule="auto"/>
              <w:rPr>
                <w:rFonts w:hint="eastAsia" w:ascii="宋体" w:hAnsi="宋体" w:eastAsia="宋体" w:cs="宋体"/>
                <w:sz w:val="21"/>
                <w:szCs w:val="21"/>
                <w:highlight w:val="red"/>
              </w:rPr>
            </w:pPr>
            <w:r>
              <w:rPr>
                <w:rFonts w:hint="eastAsia" w:ascii="宋体" w:hAnsi="宋体" w:eastAsia="宋体" w:cs="宋体"/>
                <w:sz w:val="21"/>
                <w:szCs w:val="21"/>
              </w:rPr>
              <w:t>QE7.2</w:t>
            </w:r>
          </w:p>
          <w:p>
            <w:pPr>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tc>
        <w:tc>
          <w:tcPr>
            <w:tcW w:w="10004" w:type="dxa"/>
            <w:vAlign w:val="center"/>
          </w:tcPr>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编制《人力资源管理管理程序》，规定了控制要求。对企业的人力资源的培养和发展等做出规定，销售人员、采购人员等人力资源做出了规划。</w:t>
            </w:r>
          </w:p>
          <w:p>
            <w:pPr>
              <w:pStyle w:val="4"/>
              <w:widowControl/>
              <w:spacing w:line="360" w:lineRule="auto"/>
              <w:ind w:firstLine="420" w:firstLineChars="200"/>
              <w:rPr>
                <w:rFonts w:hint="eastAsia" w:hAnsi="宋体" w:cs="宋体"/>
                <w:sz w:val="21"/>
                <w:szCs w:val="21"/>
                <w:lang w:eastAsia="zh-CN"/>
              </w:rPr>
            </w:pPr>
            <w:r>
              <w:rPr>
                <w:rFonts w:hint="eastAsia" w:ascii="宋体" w:hAnsi="宋体" w:eastAsia="宋体" w:cs="宋体"/>
                <w:sz w:val="21"/>
                <w:szCs w:val="21"/>
              </w:rPr>
              <w:t>编制《人力资源管理规划》等三层作业文件，部门又根据自己部门的特点提供《各部门负责人职责和任职要求》及《绩效考核规定》，对员工的绩效进行考核，并与员工的工资相挂钩</w:t>
            </w:r>
            <w:r>
              <w:rPr>
                <w:rFonts w:hint="eastAsia" w:hAnsi="宋体" w:cs="宋体"/>
                <w:sz w:val="21"/>
                <w:szCs w:val="21"/>
                <w:lang w:eastAsia="zh-CN"/>
              </w:rPr>
              <w:t>。</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查2019年12月的考核记录，考核结果基本达成设定的目标值，考核基本与办法保持一致。</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编制《岗位工作人员任职资格》，对总经理、管代、内审员、销售员等岗位人员的任职要求从能力、意识、学历、经历、技能等方面做出规定。</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抽查综合部经理张金凤、业务部经理尹雪静等均满足任职要求。</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企业发展规划、现状及各部门意见，人力资源部制定年度培训计划，提供《2019年-2020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豆亚涛，批准：豆胜怀，日期：2019.9.18。</w:t>
            </w:r>
          </w:p>
          <w:p>
            <w:pPr>
              <w:spacing w:line="360" w:lineRule="auto"/>
              <w:ind w:firstLine="420" w:firstLineChars="200"/>
              <w:rPr>
                <w:rFonts w:hint="eastAsia" w:ascii="宋体" w:hAnsi="宋体" w:eastAsia="宋体" w:cs="宋体"/>
                <w:sz w:val="21"/>
                <w:szCs w:val="21"/>
                <w:highlight w:val="red"/>
              </w:rPr>
            </w:pPr>
            <w:r>
              <w:rPr>
                <w:rFonts w:hint="eastAsia" w:ascii="宋体" w:hAnsi="宋体" w:eastAsia="宋体" w:cs="宋体"/>
                <w:sz w:val="21"/>
                <w:szCs w:val="21"/>
              </w:rPr>
              <w:t>查《培训记录表》，培训题目：质量/环境保护/职业健康安全的重要性GB/T19001、GB/T 24001 和ISO45001标准条款介绍；实施质量、环境和职业健康安全管理体系的意义。向全体员工讲解贯彻标准的意义。并在培训结束后策划本公司管理体系的建立、实施过程。学习手册、程序文件编写格式。</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培训地点：会议室，咨询教师</w:t>
            </w:r>
          </w:p>
          <w:p>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抽1</w:t>
            </w:r>
            <w:r>
              <w:rPr>
                <w:rFonts w:hint="eastAsia" w:hAnsi="宋体" w:cs="宋体"/>
                <w:sz w:val="21"/>
                <w:szCs w:val="21"/>
                <w:lang w:eastAsia="zh-CN"/>
              </w:rPr>
              <w:t>、</w:t>
            </w:r>
            <w:r>
              <w:rPr>
                <w:rFonts w:hint="eastAsia" w:ascii="宋体" w:hAnsi="宋体" w:eastAsia="宋体" w:cs="宋体"/>
                <w:sz w:val="21"/>
                <w:szCs w:val="21"/>
              </w:rPr>
              <w:t>培训时间：2019.9.21，培训人员：公司全体员工。培训有效性评价：培训取得预期效果。</w:t>
            </w:r>
          </w:p>
          <w:p>
            <w:pPr>
              <w:pStyle w:val="4"/>
              <w:widowControl/>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评价人：豆亚涛。 </w:t>
            </w:r>
          </w:p>
          <w:p>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抽2、</w:t>
            </w:r>
            <w:r>
              <w:rPr>
                <w:rFonts w:hint="eastAsia" w:ascii="宋体" w:hAnsi="宋体" w:eastAsia="宋体" w:cs="宋体"/>
                <w:sz w:val="21"/>
                <w:szCs w:val="21"/>
              </w:rPr>
              <w:t>培训时间：</w:t>
            </w:r>
            <w:r>
              <w:rPr>
                <w:rFonts w:hint="eastAsia" w:ascii="宋体" w:hAnsi="宋体" w:eastAsia="宋体" w:cs="宋体"/>
                <w:sz w:val="21"/>
                <w:szCs w:val="21"/>
              </w:rPr>
              <w:t>2019.10.5-6</w:t>
            </w:r>
            <w:r>
              <w:rPr>
                <w:rFonts w:hint="eastAsia" w:hAnsi="宋体" w:cs="宋体"/>
                <w:sz w:val="21"/>
                <w:szCs w:val="21"/>
                <w:lang w:eastAsia="zh-CN"/>
              </w:rPr>
              <w:t>，</w:t>
            </w:r>
            <w:r>
              <w:rPr>
                <w:rFonts w:hint="eastAsia" w:ascii="宋体" w:hAnsi="宋体" w:eastAsia="宋体" w:cs="宋体"/>
                <w:sz w:val="21"/>
                <w:szCs w:val="21"/>
              </w:rPr>
              <w:t>培训内容：企业存在的重大环境问题和不可接受风险等。</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·管理方针（质量、环境、职业健康安全）</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·管理目标（质量、环境目标指标、职业健康安全目标）</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·环境管理方案、职业健康安全管理方案；</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参加人员：豆胜怀、豆亚涛、尹雪静、张金凤等。培训有效性评价：培训取得预期效果。</w:t>
            </w:r>
          </w:p>
          <w:p>
            <w:pPr>
              <w:pStyle w:val="4"/>
              <w:widowControl/>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评价人：豆亚涛。</w:t>
            </w:r>
          </w:p>
          <w:p>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抽查3：2019.11.24在会议室进行了消防安全的培训，参加人员全体；培训效果评价  达到预期效果。</w:t>
            </w:r>
          </w:p>
          <w:p>
            <w:pPr>
              <w:pStyle w:val="4"/>
              <w:widowControl/>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评价人：豆胜怀。</w:t>
            </w:r>
          </w:p>
          <w:p>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抽查4：2019.12.12公司在会议室进行了内审员的培训，提供培训签到表，豆亚涛、张金凤等人参加了此次培训，培训效果评价  达到预期效果。评价人：马老师</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并提供相应的培训记录，及人员签到表和培训效果评价。</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查无特殊工种。</w:t>
            </w:r>
          </w:p>
          <w:p>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人力资源控制基本满足要求。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47" w:type="dxa"/>
            <w:vAlign w:val="center"/>
          </w:tcPr>
          <w:p>
            <w:pPr>
              <w:spacing w:line="360" w:lineRule="auto"/>
              <w:rPr>
                <w:rFonts w:hint="eastAsia" w:ascii="宋体" w:hAnsi="宋体" w:eastAsia="宋体" w:cs="宋体"/>
              </w:rPr>
            </w:pPr>
            <w:r>
              <w:rPr>
                <w:rFonts w:hint="eastAsia" w:ascii="宋体" w:hAnsi="宋体" w:eastAsia="宋体" w:cs="宋体"/>
                <w:sz w:val="21"/>
                <w:szCs w:val="21"/>
              </w:rPr>
              <w:t>意识</w:t>
            </w:r>
          </w:p>
        </w:tc>
        <w:tc>
          <w:tcPr>
            <w:tcW w:w="1373" w:type="dxa"/>
            <w:vAlign w:val="center"/>
          </w:tcPr>
          <w:p>
            <w:pPr>
              <w:spacing w:line="360" w:lineRule="auto"/>
              <w:rPr>
                <w:rFonts w:hint="eastAsia" w:ascii="宋体" w:hAnsi="宋体" w:eastAsia="宋体" w:cs="宋体"/>
              </w:rPr>
            </w:pPr>
            <w:r>
              <w:rPr>
                <w:rFonts w:hint="eastAsia" w:ascii="宋体" w:hAnsi="宋体" w:eastAsia="宋体" w:cs="宋体"/>
                <w:sz w:val="21"/>
                <w:szCs w:val="21"/>
              </w:rPr>
              <w:t>QES7.3</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主要通过培训提高岗位作业水平及质量和环境、安全意识，明确各岗位要求，自身工作对环境、安全目标的影响，以及如何通过培训和互相交流提高环境绩效，不符合质量管理体系要求的后果等。</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现场询问综合部人员，清楚与其相关的重要环境因素及职业健康安全风险。</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47" w:type="dxa"/>
            <w:vAlign w:val="center"/>
          </w:tcPr>
          <w:p>
            <w:pPr>
              <w:spacing w:line="360" w:lineRule="auto"/>
              <w:rPr>
                <w:rFonts w:hint="eastAsia" w:ascii="宋体" w:hAnsi="宋体" w:eastAsia="宋体" w:cs="宋体"/>
              </w:rPr>
            </w:pPr>
            <w:r>
              <w:rPr>
                <w:rFonts w:hint="eastAsia" w:ascii="宋体" w:hAnsi="宋体" w:eastAsia="宋体" w:cs="宋体"/>
                <w:sz w:val="21"/>
                <w:szCs w:val="21"/>
              </w:rPr>
              <w:t>基础设施</w:t>
            </w:r>
          </w:p>
        </w:tc>
        <w:tc>
          <w:tcPr>
            <w:tcW w:w="1373" w:type="dxa"/>
            <w:vAlign w:val="center"/>
          </w:tcPr>
          <w:p>
            <w:pPr>
              <w:spacing w:line="360" w:lineRule="auto"/>
              <w:rPr>
                <w:rFonts w:hint="eastAsia" w:ascii="宋体" w:hAnsi="宋体" w:eastAsia="宋体" w:cs="宋体"/>
              </w:rPr>
            </w:pPr>
            <w:r>
              <w:rPr>
                <w:rFonts w:hint="eastAsia" w:ascii="宋体" w:hAnsi="宋体" w:eastAsia="宋体" w:cs="宋体"/>
                <w:sz w:val="21"/>
                <w:szCs w:val="21"/>
              </w:rPr>
              <w:t>Q7.1.3</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企业对从事质量活动人员提供相应的设施，以确保满足产品要求的符合性。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1.基础设施主要包括：办公室、办公桌椅、档案橱、空调、电话、电脑、打印机、复印件、无线WIFI网络等设施。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2.查设备保养：负责人介绍了设备管理相关要求，提供了《基础设施维护保养计划》，将电脑、电话/传真、打印机/复印机、空调、打包机等设备均列入了计划中，规定了保养项目、保养频率、负责人等。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日常对办公设备进行清洁维护，电脑定期杀毒和软件升级，发生故障时联系经销商前来维修处理。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查特种设备： 经确认，目前无特种设备。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查添置、报废设施处理的符合性：公司对新添置的设备，由部门申请，报总经理批准后，由综合部购买并保管相关相应的技术说明书。报废设备设施填写《设备报废申请单》，经部门负责人、总经理签字确认后报废。经介绍自体系运行以来没有添置新的设备，没有报废设备设施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5.经现场查验上述基础设施均处于有效状态，运转良好。</w:t>
            </w:r>
          </w:p>
          <w:p>
            <w:pPr>
              <w:spacing w:line="360" w:lineRule="auto"/>
              <w:ind w:firstLine="420" w:firstLineChars="200"/>
              <w:rPr>
                <w:rFonts w:hint="eastAsia" w:ascii="宋体" w:hAnsi="宋体" w:eastAsia="宋体" w:cs="宋体"/>
                <w:b/>
              </w:rPr>
            </w:pPr>
            <w:r>
              <w:rPr>
                <w:rFonts w:hint="eastAsia" w:ascii="宋体" w:hAnsi="宋体" w:eastAsia="宋体" w:cs="宋体"/>
                <w:sz w:val="21"/>
                <w:szCs w:val="21"/>
              </w:rPr>
              <w:t>基础设施管理基本可以满足公司目前体系运行的需要。无大的变化。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747" w:type="dxa"/>
            <w:vAlign w:val="center"/>
          </w:tcPr>
          <w:p>
            <w:pPr>
              <w:spacing w:line="360" w:lineRule="auto"/>
              <w:rPr>
                <w:rFonts w:hint="eastAsia" w:ascii="宋体" w:hAnsi="宋体" w:eastAsia="宋体" w:cs="宋体"/>
              </w:rPr>
            </w:pPr>
            <w:r>
              <w:rPr>
                <w:rFonts w:hint="eastAsia" w:ascii="宋体" w:hAnsi="宋体" w:eastAsia="宋体" w:cs="宋体"/>
                <w:sz w:val="21"/>
                <w:szCs w:val="21"/>
              </w:rPr>
              <w:t>过程运行环境</w:t>
            </w:r>
          </w:p>
        </w:tc>
        <w:tc>
          <w:tcPr>
            <w:tcW w:w="1373" w:type="dxa"/>
            <w:vAlign w:val="center"/>
          </w:tcPr>
          <w:p>
            <w:pPr>
              <w:spacing w:line="360" w:lineRule="auto"/>
              <w:rPr>
                <w:rFonts w:hint="eastAsia" w:ascii="宋体" w:hAnsi="宋体" w:eastAsia="宋体" w:cs="宋体"/>
              </w:rPr>
            </w:pPr>
            <w:r>
              <w:rPr>
                <w:rFonts w:hint="eastAsia" w:ascii="宋体" w:hAnsi="宋体" w:eastAsia="宋体" w:cs="宋体"/>
                <w:sz w:val="21"/>
                <w:szCs w:val="21"/>
              </w:rPr>
              <w:t>Q:7.1.4</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现场查看办公工作场所环境：办公设备安置有序，通道顺畅，地面整洁；办公室采用空调，办公环境舒适，现场管理良好。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公司员工和睦相处，精诚团结，工作氛围和谐，工作环境适宜，无歧视。</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办公环境卫生干净整洁，通风良好无返潮；照明良好；人员工作井然有序。无变化。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47" w:type="dxa"/>
            <w:vAlign w:val="center"/>
          </w:tcPr>
          <w:p>
            <w:r>
              <w:rPr>
                <w:rFonts w:hint="eastAsia"/>
                <w:szCs w:val="21"/>
              </w:rPr>
              <w:t>沟通、参与和协商</w:t>
            </w:r>
          </w:p>
        </w:tc>
        <w:tc>
          <w:tcPr>
            <w:tcW w:w="1373" w:type="dxa"/>
            <w:vAlign w:val="center"/>
          </w:tcPr>
          <w:p>
            <w:pPr>
              <w:rPr>
                <w:rFonts w:hint="eastAsia"/>
                <w:szCs w:val="21"/>
              </w:rPr>
            </w:pPr>
            <w:r>
              <w:rPr>
                <w:rFonts w:hint="eastAsia"/>
                <w:szCs w:val="21"/>
              </w:rPr>
              <w:t>QE</w:t>
            </w:r>
            <w:r>
              <w:rPr>
                <w:szCs w:val="21"/>
              </w:rPr>
              <w:t>S</w:t>
            </w:r>
            <w:r>
              <w:rPr>
                <w:rFonts w:hint="eastAsia"/>
                <w:szCs w:val="21"/>
              </w:rPr>
              <w:t>7.</w:t>
            </w:r>
            <w:r>
              <w:rPr>
                <w:szCs w:val="21"/>
              </w:rPr>
              <w:t>4</w:t>
            </w:r>
          </w:p>
          <w:p/>
        </w:tc>
        <w:tc>
          <w:tcPr>
            <w:tcW w:w="10004" w:type="dxa"/>
            <w:vAlign w:val="center"/>
          </w:tcPr>
          <w:p>
            <w:pPr>
              <w:spacing w:line="360" w:lineRule="auto"/>
              <w:ind w:firstLine="420" w:firstLineChars="200"/>
              <w:rPr>
                <w:rFonts w:hint="eastAsia"/>
                <w:sz w:val="21"/>
                <w:szCs w:val="21"/>
              </w:rPr>
            </w:pPr>
            <w:r>
              <w:rPr>
                <w:rFonts w:hint="eastAsia"/>
                <w:sz w:val="21"/>
                <w:szCs w:val="21"/>
              </w:rPr>
              <w:t>策划编制的程序文件</w:t>
            </w:r>
            <w:r>
              <w:rPr>
                <w:sz w:val="21"/>
                <w:szCs w:val="21"/>
              </w:rPr>
              <w:t>《</w:t>
            </w:r>
            <w:r>
              <w:rPr>
                <w:rFonts w:hint="eastAsia"/>
                <w:sz w:val="21"/>
                <w:szCs w:val="21"/>
              </w:rPr>
              <w:t>信息交流、参与和协商控制程序</w:t>
            </w:r>
            <w:r>
              <w:rPr>
                <w:sz w:val="21"/>
                <w:szCs w:val="21"/>
              </w:rPr>
              <w:t>》</w:t>
            </w:r>
            <w:r>
              <w:rPr>
                <w:rFonts w:hint="eastAsia"/>
                <w:sz w:val="21"/>
                <w:szCs w:val="21"/>
              </w:rPr>
              <w:t>及管理手册的相关章节规定了企业内、外部沟通和员工就职业健康安全事务参与、协商的要求，经查阅和交谈符合标准要求。</w:t>
            </w:r>
          </w:p>
          <w:p>
            <w:pPr>
              <w:spacing w:line="360" w:lineRule="auto"/>
              <w:ind w:firstLine="420" w:firstLineChars="200"/>
              <w:rPr>
                <w:sz w:val="21"/>
                <w:szCs w:val="21"/>
              </w:rPr>
            </w:pPr>
            <w:r>
              <w:rPr>
                <w:rFonts w:hint="eastAsia"/>
                <w:sz w:val="21"/>
                <w:szCs w:val="21"/>
              </w:rPr>
              <w:t>总经理负责在公司建立畅通的沟通渠道。管理者代表是公司内部和外部信息交流和沟通的负责人。</w:t>
            </w:r>
          </w:p>
          <w:p>
            <w:pPr>
              <w:spacing w:line="360" w:lineRule="auto"/>
              <w:ind w:firstLine="420" w:firstLineChars="200"/>
              <w:rPr>
                <w:sz w:val="21"/>
                <w:szCs w:val="21"/>
              </w:rPr>
            </w:pPr>
            <w:r>
              <w:rPr>
                <w:rFonts w:hint="eastAsia"/>
                <w:sz w:val="21"/>
                <w:szCs w:val="21"/>
              </w:rPr>
              <w:t>综合部是公司内部和外部信息交流和协商的归口综合部。负责与上级主管部门及周边单位的信息交流；负责与管理体系、法律法规等有关的内部和外部信息交流；负责与采购供方、客户等相关方之间的沟通。工程部负责施工现场沟通。</w:t>
            </w:r>
          </w:p>
          <w:p>
            <w:pPr>
              <w:spacing w:line="360" w:lineRule="auto"/>
              <w:ind w:firstLine="420" w:firstLineChars="200"/>
              <w:rPr>
                <w:sz w:val="21"/>
                <w:szCs w:val="21"/>
              </w:rPr>
            </w:pPr>
            <w:r>
              <w:rPr>
                <w:rFonts w:hint="eastAsia"/>
                <w:sz w:val="21"/>
                <w:szCs w:val="21"/>
              </w:rPr>
              <w:t>各部门收集到有关职业健康安全方面的信息，包括法律法规等，及时向综合部反馈。业务部负责顾客要求方面的有关事宜的沟通。</w:t>
            </w:r>
          </w:p>
          <w:p>
            <w:pPr>
              <w:spacing w:line="360" w:lineRule="auto"/>
              <w:ind w:firstLine="420" w:firstLineChars="200"/>
              <w:rPr>
                <w:rFonts w:hint="eastAsia"/>
                <w:sz w:val="21"/>
                <w:szCs w:val="21"/>
              </w:rPr>
            </w:pPr>
            <w:r>
              <w:rPr>
                <w:rFonts w:hint="eastAsia"/>
                <w:sz w:val="21"/>
                <w:szCs w:val="21"/>
              </w:rPr>
              <w:t>目前各项沟通都较为及时、顺畅、效果较好。</w:t>
            </w:r>
          </w:p>
          <w:p>
            <w:pPr>
              <w:spacing w:line="360" w:lineRule="auto"/>
              <w:ind w:firstLine="420" w:firstLineChars="200"/>
              <w:rPr>
                <w:rFonts w:hint="eastAsia"/>
                <w:sz w:val="21"/>
                <w:szCs w:val="21"/>
              </w:rPr>
            </w:pPr>
            <w:r>
              <w:rPr>
                <w:rFonts w:hint="eastAsia"/>
                <w:sz w:val="21"/>
                <w:szCs w:val="21"/>
              </w:rPr>
              <w:t xml:space="preserve">经全体员工大会选举，任命公司赵越鑫同志为公司安全事务代表。    </w:t>
            </w:r>
          </w:p>
          <w:p>
            <w:pPr>
              <w:spacing w:line="360" w:lineRule="auto"/>
              <w:rPr>
                <w:rFonts w:hint="eastAsia"/>
                <w:sz w:val="21"/>
                <w:szCs w:val="21"/>
              </w:rPr>
            </w:pPr>
            <w:r>
              <w:rPr>
                <w:rFonts w:hint="eastAsia"/>
                <w:sz w:val="21"/>
                <w:szCs w:val="21"/>
              </w:rPr>
              <w:t>与赵越鑫交</w:t>
            </w:r>
            <w:r>
              <w:rPr>
                <w:rFonts w:hint="eastAsia"/>
                <w:sz w:val="21"/>
                <w:szCs w:val="21"/>
                <w:lang w:val="en-GB"/>
              </w:rPr>
              <w:t>谈，</w:t>
            </w:r>
            <w:r>
              <w:rPr>
                <w:rFonts w:hint="eastAsia"/>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60" w:lineRule="auto"/>
            </w:pPr>
            <w:r>
              <w:rPr>
                <w:rFonts w:hint="eastAsia"/>
                <w:sz w:val="21"/>
                <w:szCs w:val="21"/>
              </w:rPr>
              <w:t>通过安全事务代表的积极争取，员工的劳保用品得到合理配备并及时发放；员工保险得到按时交纳等。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47" w:type="dxa"/>
            <w:vAlign w:val="center"/>
          </w:tcPr>
          <w:p>
            <w:r>
              <w:rPr>
                <w:rFonts w:hint="eastAsia"/>
                <w:szCs w:val="21"/>
              </w:rPr>
              <w:t>组织的知识、文件化信息</w:t>
            </w:r>
          </w:p>
        </w:tc>
        <w:tc>
          <w:tcPr>
            <w:tcW w:w="1373" w:type="dxa"/>
            <w:vAlign w:val="center"/>
          </w:tcPr>
          <w:p>
            <w:pPr>
              <w:rPr>
                <w:szCs w:val="21"/>
              </w:rPr>
            </w:pPr>
            <w:r>
              <w:rPr>
                <w:rFonts w:hint="eastAsia"/>
                <w:szCs w:val="21"/>
              </w:rPr>
              <w:t>Q7.1.6</w:t>
            </w:r>
          </w:p>
          <w:p>
            <w:pPr>
              <w:pStyle w:val="2"/>
              <w:rPr>
                <w:rFonts w:hint="eastAsia"/>
                <w:bCs w:val="0"/>
                <w:spacing w:val="0"/>
                <w:sz w:val="21"/>
                <w:szCs w:val="21"/>
              </w:rPr>
            </w:pPr>
            <w:r>
              <w:rPr>
                <w:bCs w:val="0"/>
                <w:spacing w:val="0"/>
                <w:sz w:val="21"/>
                <w:szCs w:val="21"/>
              </w:rPr>
              <w:t>ES7.1</w:t>
            </w:r>
          </w:p>
          <w:p>
            <w:pPr>
              <w:rPr>
                <w:rFonts w:hint="eastAsia"/>
                <w:szCs w:val="21"/>
              </w:rPr>
            </w:pPr>
            <w:r>
              <w:rPr>
                <w:rFonts w:hint="eastAsia"/>
                <w:szCs w:val="21"/>
              </w:rPr>
              <w:t>QE</w:t>
            </w:r>
            <w:r>
              <w:rPr>
                <w:szCs w:val="21"/>
              </w:rPr>
              <w:t>S</w:t>
            </w:r>
            <w:r>
              <w:rPr>
                <w:rFonts w:hint="eastAsia"/>
                <w:szCs w:val="21"/>
              </w:rPr>
              <w:t>7.5</w:t>
            </w:r>
          </w:p>
          <w:p/>
        </w:tc>
        <w:tc>
          <w:tcPr>
            <w:tcW w:w="10004" w:type="dxa"/>
            <w:vAlign w:val="center"/>
          </w:tcPr>
          <w:p>
            <w:pPr>
              <w:spacing w:line="360" w:lineRule="auto"/>
              <w:ind w:firstLine="420" w:firstLineChars="200"/>
              <w:jc w:val="left"/>
              <w:rPr>
                <w:rFonts w:hint="eastAsia"/>
                <w:szCs w:val="21"/>
              </w:rPr>
            </w:pPr>
            <w:r>
              <w:rPr>
                <w:rFonts w:hint="eastAsia"/>
                <w:szCs w:val="21"/>
              </w:rPr>
              <w:t>受审核方建立的管理体系文件包括：</w:t>
            </w:r>
          </w:p>
          <w:p>
            <w:pPr>
              <w:numPr>
                <w:ilvl w:val="0"/>
                <w:numId w:val="3"/>
              </w:numPr>
              <w:spacing w:line="360" w:lineRule="auto"/>
              <w:jc w:val="left"/>
              <w:rPr>
                <w:rFonts w:hint="eastAsia" w:ascii="宋体" w:hAnsi="宋体" w:cs="宋体"/>
                <w:szCs w:val="21"/>
              </w:rPr>
            </w:pPr>
            <w:r>
              <w:rPr>
                <w:rFonts w:hint="eastAsia" w:ascii="宋体" w:hAnsi="宋体" w:cs="宋体"/>
                <w:szCs w:val="21"/>
              </w:rPr>
              <w:t>管理手册</w:t>
            </w:r>
            <w:r>
              <w:rPr>
                <w:rFonts w:ascii="宋体" w:hAnsi="宋体" w:cs="宋体"/>
                <w:szCs w:val="21"/>
              </w:rPr>
              <w:t>DZBS/SC-2019</w:t>
            </w:r>
            <w:r>
              <w:rPr>
                <w:rFonts w:hint="eastAsia" w:ascii="宋体" w:hAnsi="宋体" w:cs="宋体"/>
                <w:szCs w:val="21"/>
              </w:rPr>
              <w:t>版</w:t>
            </w:r>
            <w:r>
              <w:rPr>
                <w:rFonts w:ascii="宋体" w:hAnsi="宋体" w:cs="宋体"/>
                <w:szCs w:val="21"/>
              </w:rPr>
              <w:t>B/0</w:t>
            </w:r>
            <w:r>
              <w:rPr>
                <w:rFonts w:hint="eastAsia" w:ascii="宋体" w:hAnsi="宋体" w:cs="宋体"/>
                <w:szCs w:val="21"/>
              </w:rPr>
              <w:t>，发布时间：201</w:t>
            </w:r>
            <w:r>
              <w:rPr>
                <w:rFonts w:ascii="宋体" w:hAnsi="宋体" w:cs="宋体"/>
                <w:szCs w:val="21"/>
              </w:rPr>
              <w:t>9</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6</w:t>
            </w:r>
            <w:r>
              <w:rPr>
                <w:rFonts w:hint="eastAsia" w:ascii="宋体" w:hAnsi="宋体" w:cs="宋体"/>
                <w:szCs w:val="21"/>
              </w:rPr>
              <w:t>日   实施时间：201</w:t>
            </w:r>
            <w:r>
              <w:rPr>
                <w:rFonts w:ascii="宋体" w:hAnsi="宋体" w:cs="宋体"/>
                <w:szCs w:val="21"/>
              </w:rPr>
              <w:t>9</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6</w:t>
            </w:r>
            <w:r>
              <w:rPr>
                <w:rFonts w:hint="eastAsia" w:ascii="宋体" w:hAnsi="宋体" w:cs="宋体"/>
                <w:szCs w:val="21"/>
              </w:rPr>
              <w:t>日</w:t>
            </w:r>
          </w:p>
          <w:p>
            <w:pPr>
              <w:spacing w:line="360" w:lineRule="auto"/>
              <w:jc w:val="left"/>
              <w:rPr>
                <w:rFonts w:hint="eastAsia" w:ascii="宋体" w:hAnsi="宋体" w:cs="宋体"/>
                <w:szCs w:val="21"/>
              </w:rPr>
            </w:pPr>
            <w:r>
              <w:rPr>
                <w:rFonts w:hint="eastAsia" w:ascii="宋体" w:hAnsi="宋体" w:cs="宋体"/>
                <w:szCs w:val="21"/>
              </w:rPr>
              <w:t>2.程序文件，含</w:t>
            </w:r>
            <w:r>
              <w:rPr>
                <w:rFonts w:ascii="宋体" w:hAnsi="宋体" w:cs="宋体"/>
                <w:szCs w:val="21"/>
              </w:rPr>
              <w:t>27</w:t>
            </w:r>
            <w:r>
              <w:rPr>
                <w:rFonts w:hint="eastAsia" w:ascii="宋体" w:hAnsi="宋体" w:cs="宋体"/>
                <w:szCs w:val="21"/>
              </w:rPr>
              <w:t>个文件，包括标准要求的形成文件的信息。</w:t>
            </w:r>
          </w:p>
          <w:p>
            <w:pPr>
              <w:pStyle w:val="3"/>
              <w:tabs>
                <w:tab w:val="left" w:pos="3300"/>
                <w:tab w:val="left" w:pos="5160"/>
                <w:tab w:val="clear" w:pos="3510"/>
                <w:tab w:val="clear" w:pos="5580"/>
              </w:tabs>
              <w:spacing w:line="360" w:lineRule="auto"/>
              <w:jc w:val="left"/>
              <w:rPr>
                <w:rFonts w:hint="eastAsia" w:ascii="宋体" w:hAnsi="宋体" w:cs="宋体"/>
                <w:b w:val="0"/>
                <w:bCs w:val="0"/>
                <w:sz w:val="21"/>
                <w:szCs w:val="21"/>
              </w:rPr>
            </w:pPr>
            <w:r>
              <w:rPr>
                <w:rFonts w:hint="eastAsia" w:ascii="宋体" w:hAnsi="宋体" w:cs="宋体"/>
                <w:b w:val="0"/>
                <w:bCs w:val="0"/>
                <w:sz w:val="21"/>
                <w:szCs w:val="21"/>
              </w:rPr>
              <w:t>3.管理制度汇编</w:t>
            </w:r>
            <w:r>
              <w:rPr>
                <w:rFonts w:ascii="宋体" w:hAnsi="宋体" w:cs="宋体"/>
                <w:b w:val="0"/>
                <w:bCs w:val="0"/>
                <w:sz w:val="21"/>
                <w:szCs w:val="21"/>
              </w:rPr>
              <w:t>DZBS-ZD-2019</w:t>
            </w:r>
          </w:p>
          <w:p>
            <w:pPr>
              <w:spacing w:line="360" w:lineRule="auto"/>
              <w:ind w:firstLine="420" w:firstLineChars="200"/>
              <w:jc w:val="left"/>
              <w:rPr>
                <w:rFonts w:hint="eastAsia" w:ascii="宋体" w:hAnsi="宋体" w:cs="宋体"/>
                <w:szCs w:val="21"/>
              </w:rPr>
            </w:pPr>
            <w:r>
              <w:rPr>
                <w:rFonts w:hint="eastAsia" w:ascii="宋体" w:hAnsi="宋体" w:cs="宋体"/>
                <w:szCs w:val="21"/>
              </w:rPr>
              <w:t>包括管理制度、合同管理制定等。</w:t>
            </w:r>
          </w:p>
          <w:p>
            <w:pPr>
              <w:spacing w:line="360" w:lineRule="auto"/>
              <w:jc w:val="left"/>
              <w:rPr>
                <w:rFonts w:hint="eastAsia" w:ascii="宋体" w:hAnsi="宋体" w:cs="宋体"/>
                <w:szCs w:val="21"/>
              </w:rPr>
            </w:pPr>
            <w:r>
              <w:rPr>
                <w:rFonts w:hint="eastAsia" w:ascii="宋体" w:hAnsi="宋体" w:cs="宋体"/>
                <w:szCs w:val="21"/>
              </w:rPr>
              <w:t>4.体系运行所需要的文件和记录</w:t>
            </w:r>
          </w:p>
          <w:p>
            <w:pPr>
              <w:spacing w:line="360" w:lineRule="auto"/>
              <w:ind w:firstLine="420" w:firstLineChars="200"/>
              <w:jc w:val="left"/>
              <w:rPr>
                <w:rFonts w:hint="eastAsia" w:ascii="宋体" w:hAnsi="宋体" w:cs="宋体"/>
                <w:szCs w:val="21"/>
              </w:rPr>
            </w:pPr>
            <w:r>
              <w:rPr>
                <w:rFonts w:hint="eastAsia" w:ascii="宋体" w:hAnsi="宋体" w:cs="宋体"/>
                <w:szCs w:val="21"/>
              </w:rPr>
              <w:t>编制了《文件控制程序》《记录控制程序》用于对管理体系文件，符合标准要求。</w:t>
            </w:r>
          </w:p>
          <w:p>
            <w:pPr>
              <w:spacing w:line="360" w:lineRule="auto"/>
              <w:ind w:firstLine="420" w:firstLineChars="200"/>
              <w:jc w:val="left"/>
              <w:rPr>
                <w:rFonts w:hint="eastAsia" w:ascii="宋体" w:hAnsi="宋体" w:cs="宋体"/>
                <w:szCs w:val="21"/>
              </w:rPr>
            </w:pPr>
            <w:r>
              <w:rPr>
                <w:rFonts w:hint="eastAsia" w:ascii="宋体" w:hAnsi="宋体" w:cs="宋体"/>
                <w:szCs w:val="21"/>
              </w:rPr>
              <w:t>查看《文件发放记录表》，内容包括：文件名称，文件编号，接收部门，分发序号，接收人/日期，回收记录。</w:t>
            </w:r>
          </w:p>
          <w:p>
            <w:pPr>
              <w:spacing w:line="360" w:lineRule="auto"/>
              <w:ind w:firstLine="420" w:firstLineChars="200"/>
              <w:jc w:val="left"/>
              <w:rPr>
                <w:rFonts w:hint="eastAsia"/>
                <w:szCs w:val="21"/>
              </w:rPr>
            </w:pPr>
            <w:r>
              <w:rPr>
                <w:rFonts w:hint="eastAsia"/>
                <w:szCs w:val="21"/>
              </w:rPr>
              <w:t>查综合部管理手册的发放，文件编号</w:t>
            </w:r>
            <w:r>
              <w:rPr>
                <w:rFonts w:ascii="宋体" w:hAnsi="宋体" w:cs="宋体"/>
                <w:szCs w:val="21"/>
              </w:rPr>
              <w:t>DZBS</w:t>
            </w:r>
            <w:r>
              <w:rPr>
                <w:rFonts w:hint="eastAsia" w:ascii="宋体" w:hAnsi="宋体" w:cs="宋体"/>
                <w:szCs w:val="21"/>
              </w:rPr>
              <w:t>-SC-201</w:t>
            </w:r>
            <w:r>
              <w:rPr>
                <w:rFonts w:ascii="宋体" w:hAnsi="宋体" w:cs="宋体"/>
                <w:szCs w:val="21"/>
              </w:rPr>
              <w:t>9</w:t>
            </w:r>
            <w:r>
              <w:rPr>
                <w:rFonts w:hint="eastAsia" w:ascii="宋体" w:hAnsi="宋体" w:cs="宋体"/>
                <w:szCs w:val="21"/>
              </w:rPr>
              <w:t xml:space="preserve"> 版</w:t>
            </w:r>
            <w:r>
              <w:rPr>
                <w:rFonts w:ascii="宋体" w:hAnsi="宋体" w:cs="宋体"/>
                <w:szCs w:val="21"/>
              </w:rPr>
              <w:t>B</w:t>
            </w:r>
            <w:r>
              <w:rPr>
                <w:rFonts w:hint="eastAsia" w:ascii="宋体" w:hAnsi="宋体" w:cs="宋体"/>
                <w:szCs w:val="21"/>
              </w:rPr>
              <w:t>/0</w:t>
            </w:r>
            <w:r>
              <w:rPr>
                <w:rFonts w:hint="eastAsia"/>
                <w:szCs w:val="21"/>
              </w:rPr>
              <w:t>，分发号01，接收人高会涛。分发号02，接收人 陈泽森。</w:t>
            </w:r>
          </w:p>
          <w:p>
            <w:pPr>
              <w:spacing w:line="360" w:lineRule="auto"/>
              <w:ind w:firstLine="420" w:firstLineChars="200"/>
              <w:jc w:val="left"/>
              <w:rPr>
                <w:rFonts w:hint="eastAsia"/>
                <w:color w:val="FF0000"/>
                <w:szCs w:val="21"/>
              </w:rPr>
            </w:pPr>
            <w:r>
              <w:rPr>
                <w:rFonts w:hint="eastAsia"/>
                <w:szCs w:val="21"/>
              </w:rPr>
              <w:t>查文件更改情况：针对文审提出的不符合，对《管理手册》进行了更改。补充完善了相关内容，被替换的文件页面均标有“作废”标识。未提供A版质量、环境和职业健康安全管理手册等管理文件处置的相关信息。</w:t>
            </w:r>
          </w:p>
          <w:p>
            <w:pPr>
              <w:spacing w:line="360" w:lineRule="auto"/>
              <w:ind w:firstLine="420" w:firstLineChars="200"/>
              <w:jc w:val="left"/>
              <w:rPr>
                <w:rFonts w:hint="eastAsia"/>
                <w:szCs w:val="21"/>
              </w:rPr>
            </w:pPr>
            <w:r>
              <w:rPr>
                <w:rFonts w:hint="eastAsia"/>
                <w:szCs w:val="21"/>
              </w:rPr>
              <w:t>查综合部管理手册、管理制度等文件均保管良好，为有效版本，有受控标识。</w:t>
            </w:r>
          </w:p>
          <w:p>
            <w:pPr>
              <w:spacing w:line="360" w:lineRule="auto"/>
              <w:ind w:firstLine="420" w:firstLineChars="200"/>
              <w:jc w:val="left"/>
              <w:rPr>
                <w:rFonts w:hint="eastAsia"/>
                <w:szCs w:val="21"/>
              </w:rPr>
            </w:pPr>
            <w:r>
              <w:rPr>
                <w:rFonts w:hint="eastAsia"/>
                <w:szCs w:val="21"/>
              </w:rPr>
              <w:t>综合部负责收集有关产品的国家标准、行业标准的最新版本，分发到相关部门使用；收回旧标准。</w:t>
            </w:r>
          </w:p>
          <w:p>
            <w:pPr>
              <w:spacing w:line="360" w:lineRule="auto"/>
              <w:ind w:firstLine="420" w:firstLineChars="200"/>
              <w:jc w:val="left"/>
              <w:rPr>
                <w:rFonts w:hint="eastAsia"/>
                <w:szCs w:val="21"/>
              </w:rPr>
            </w:pPr>
            <w:r>
              <w:rPr>
                <w:rFonts w:hint="eastAsia"/>
                <w:szCs w:val="21"/>
              </w:rPr>
              <w:t>查见《适用的法律法规及其他要求清单》，内容包括：序号、文件名称、编号、版本等，收集基本全面，基本符合。</w:t>
            </w:r>
          </w:p>
          <w:p>
            <w:pPr>
              <w:spacing w:line="360" w:lineRule="auto"/>
              <w:jc w:val="left"/>
              <w:rPr>
                <w:rFonts w:hint="eastAsia"/>
                <w:szCs w:val="21"/>
              </w:rPr>
            </w:pPr>
            <w:r>
              <w:rPr>
                <w:rFonts w:hint="eastAsia"/>
                <w:szCs w:val="21"/>
              </w:rPr>
              <w:t>以上外来文件保管良好，均为有效版本。</w:t>
            </w:r>
          </w:p>
          <w:p>
            <w:pPr>
              <w:spacing w:line="360" w:lineRule="auto"/>
              <w:ind w:firstLine="420" w:firstLineChars="200"/>
              <w:jc w:val="left"/>
              <w:rPr>
                <w:rFonts w:hint="eastAsia"/>
                <w:szCs w:val="21"/>
              </w:rPr>
            </w:pPr>
            <w:r>
              <w:rPr>
                <w:rFonts w:hint="eastAsia"/>
                <w:szCs w:val="21"/>
              </w:rPr>
              <w:t>查见《记录清单》，内容包括：序号、记录名称、编号、保存期、使用部门等。</w:t>
            </w:r>
          </w:p>
          <w:p>
            <w:pPr>
              <w:spacing w:line="360" w:lineRule="auto"/>
              <w:ind w:firstLine="420" w:firstLineChars="200"/>
              <w:jc w:val="left"/>
              <w:rPr>
                <w:rFonts w:hint="eastAsia"/>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w:t>
            </w:r>
          </w:p>
          <w:p>
            <w:pPr>
              <w:spacing w:line="360" w:lineRule="auto"/>
              <w:ind w:firstLine="420" w:firstLineChars="200"/>
              <w:jc w:val="left"/>
              <w:rPr>
                <w:rFonts w:hint="eastAsia"/>
                <w:szCs w:val="21"/>
              </w:rPr>
            </w:pPr>
            <w:r>
              <w:rPr>
                <w:rFonts w:hint="eastAsia"/>
                <w:szCs w:val="21"/>
              </w:rPr>
              <w:t>抽查综合部文件发放登记表、培训记录表、受控文件清单，固体废弃物处置记录，填写及保管符合要求。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各部门保存各记录，按时间整理，放置在文件柜中，以便检索，综合部定期对其进行检查，目前保存完好。名称，编号构成记录的唯一性标识。</w:t>
            </w:r>
          </w:p>
          <w:p>
            <w:pPr>
              <w:spacing w:line="360" w:lineRule="auto"/>
              <w:jc w:val="left"/>
            </w:pPr>
            <w:r>
              <w:rPr>
                <w:rFonts w:hint="eastAsia"/>
                <w:szCs w:val="21"/>
              </w:rPr>
              <w:t>5、公司自成立以来获得奖项：无</w:t>
            </w:r>
          </w:p>
        </w:tc>
        <w:tc>
          <w:tcPr>
            <w:tcW w:w="1585" w:type="dxa"/>
          </w:tcPr>
          <w:p/>
          <w:p/>
          <w:p/>
          <w:p/>
          <w:p/>
          <w:p/>
          <w:p/>
          <w:p/>
          <w:p/>
          <w:p/>
          <w:p/>
          <w:p/>
          <w:p/>
          <w:p>
            <w:pPr>
              <w:rPr>
                <w:rFonts w:hint="eastAsia"/>
              </w:rP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47" w:type="dxa"/>
            <w:vAlign w:val="center"/>
          </w:tcPr>
          <w:p>
            <w:pPr>
              <w:spacing w:line="360" w:lineRule="auto"/>
            </w:pPr>
            <w:r>
              <w:rPr>
                <w:rFonts w:hint="eastAsia"/>
                <w:sz w:val="21"/>
                <w:szCs w:val="21"/>
              </w:rPr>
              <w:t>运行控制</w:t>
            </w:r>
          </w:p>
        </w:tc>
        <w:tc>
          <w:tcPr>
            <w:tcW w:w="1373" w:type="dxa"/>
            <w:vAlign w:val="center"/>
          </w:tcPr>
          <w:p>
            <w:pPr>
              <w:spacing w:line="360" w:lineRule="auto"/>
              <w:rPr>
                <w:rFonts w:hint="eastAsia"/>
                <w:sz w:val="21"/>
                <w:szCs w:val="21"/>
              </w:rPr>
            </w:pPr>
          </w:p>
          <w:p>
            <w:pPr>
              <w:spacing w:line="360" w:lineRule="auto"/>
              <w:rPr>
                <w:rFonts w:hint="eastAsia"/>
                <w:sz w:val="21"/>
                <w:szCs w:val="21"/>
              </w:rPr>
            </w:pPr>
            <w:r>
              <w:rPr>
                <w:rFonts w:hint="eastAsia"/>
                <w:sz w:val="21"/>
                <w:szCs w:val="21"/>
              </w:rPr>
              <w:t>E</w:t>
            </w:r>
            <w:r>
              <w:rPr>
                <w:sz w:val="21"/>
                <w:szCs w:val="21"/>
              </w:rPr>
              <w:t>S</w:t>
            </w:r>
            <w:r>
              <w:rPr>
                <w:rFonts w:hint="eastAsia"/>
                <w:sz w:val="21"/>
                <w:szCs w:val="21"/>
              </w:rPr>
              <w:t>8.1</w:t>
            </w:r>
          </w:p>
          <w:p>
            <w:pPr>
              <w:spacing w:line="360" w:lineRule="auto"/>
            </w:pPr>
          </w:p>
        </w:tc>
        <w:tc>
          <w:tcPr>
            <w:tcW w:w="10004" w:type="dxa"/>
            <w:vAlign w:val="center"/>
          </w:tcPr>
          <w:p>
            <w:pPr>
              <w:spacing w:line="360" w:lineRule="auto"/>
              <w:ind w:firstLine="420" w:firstLineChars="200"/>
              <w:rPr>
                <w:rFonts w:hint="eastAsia"/>
                <w:sz w:val="21"/>
                <w:szCs w:val="21"/>
              </w:rPr>
            </w:pPr>
            <w:r>
              <w:rPr>
                <w:rFonts w:hint="eastAsia"/>
                <w:sz w:val="21"/>
                <w:szCs w:val="21"/>
              </w:rPr>
              <w:t>本部门执行节能降耗控制程序、固体废弃物控制程序、环境管理控制程序、档案管理制定合同管理制定、印章管理制度、代理工作办法项目管理手册</w:t>
            </w:r>
            <w:r>
              <w:rPr>
                <w:rFonts w:hint="eastAsia"/>
                <w:sz w:val="21"/>
                <w:szCs w:val="21"/>
                <w:lang w:val="en-GB"/>
              </w:rPr>
              <w:t>、车辆管理规定</w:t>
            </w:r>
            <w:r>
              <w:rPr>
                <w:rFonts w:hint="eastAsia"/>
                <w:sz w:val="21"/>
                <w:szCs w:val="21"/>
              </w:rPr>
              <w:t>等。</w:t>
            </w:r>
          </w:p>
          <w:p>
            <w:pPr>
              <w:spacing w:line="360" w:lineRule="auto"/>
              <w:ind w:firstLine="420" w:firstLineChars="200"/>
              <w:rPr>
                <w:rFonts w:ascii="宋体" w:hAnsi="宋体" w:cs="宋体"/>
                <w:color w:val="FF0000"/>
                <w:sz w:val="21"/>
                <w:szCs w:val="21"/>
                <w:lang w:val="en-GB"/>
              </w:rPr>
            </w:pPr>
            <w:r>
              <w:rPr>
                <w:rFonts w:hint="eastAsia" w:ascii="宋体" w:hAnsi="宋体" w:cs="宋体"/>
                <w:sz w:val="21"/>
                <w:szCs w:val="21"/>
                <w:lang w:val="en-GB"/>
              </w:rPr>
              <w:t>运行控制情况：办公过程注意节约用电，做到人走灯灭，电脑长时间不用时关机，下班前要关闭电源；办公室配备灭火器，在有效期内。上年度开具不符合项报告未重复发生，整改有效。</w:t>
            </w:r>
          </w:p>
          <w:p>
            <w:pPr>
              <w:spacing w:line="360" w:lineRule="auto"/>
              <w:ind w:firstLine="420" w:firstLineChars="200"/>
              <w:rPr>
                <w:rFonts w:hint="eastAsia" w:ascii="宋体" w:hAnsi="宋体" w:cs="宋体"/>
                <w:sz w:val="21"/>
                <w:szCs w:val="21"/>
                <w:lang w:val="en-GB"/>
              </w:rPr>
            </w:pPr>
            <w:r>
              <w:rPr>
                <w:rFonts w:hint="eastAsia" w:ascii="宋体" w:hAnsi="宋体" w:cs="宋体"/>
                <w:sz w:val="21"/>
                <w:szCs w:val="21"/>
              </w:rPr>
              <w:t>办公过程使用的电器如：空调、电脑、灯具均符合安全设计要求，使用过程注意安全，预防触电，工作时间平均每天8小时；</w:t>
            </w:r>
          </w:p>
          <w:p>
            <w:pPr>
              <w:spacing w:line="360" w:lineRule="auto"/>
              <w:ind w:firstLine="420" w:firstLineChars="200"/>
              <w:rPr>
                <w:rFonts w:hint="eastAsia" w:ascii="宋体" w:hAnsi="宋体" w:cs="宋体"/>
                <w:sz w:val="21"/>
                <w:szCs w:val="21"/>
                <w:lang w:val="en-GB"/>
              </w:rPr>
            </w:pPr>
            <w:r>
              <w:rPr>
                <w:rFonts w:hint="eastAsia" w:ascii="宋体" w:hAnsi="宋体" w:cs="宋体"/>
                <w:sz w:val="21"/>
                <w:szCs w:val="21"/>
                <w:lang w:val="en-GB"/>
              </w:rPr>
              <w:t>办公用品按要求由</w:t>
            </w:r>
            <w:r>
              <w:rPr>
                <w:rFonts w:hint="eastAsia" w:ascii="宋体" w:hAnsi="宋体" w:cs="宋体"/>
                <w:sz w:val="21"/>
                <w:szCs w:val="21"/>
              </w:rPr>
              <w:t>综合部</w:t>
            </w:r>
            <w:r>
              <w:rPr>
                <w:rFonts w:hint="eastAsia" w:ascii="宋体" w:hAnsi="宋体" w:cs="宋体"/>
                <w:sz w:val="21"/>
                <w:szCs w:val="21"/>
                <w:lang w:val="en-GB"/>
              </w:rPr>
              <w:t>负责发放，作好记录；</w:t>
            </w:r>
          </w:p>
          <w:p>
            <w:pPr>
              <w:spacing w:line="360" w:lineRule="auto"/>
              <w:ind w:firstLine="420" w:firstLineChars="200"/>
              <w:rPr>
                <w:rFonts w:hint="eastAsia" w:ascii="宋体" w:hAnsi="宋体" w:cs="宋体"/>
                <w:sz w:val="21"/>
                <w:szCs w:val="21"/>
                <w:lang w:val="en-GB"/>
              </w:rPr>
            </w:pPr>
            <w:r>
              <w:rPr>
                <w:rFonts w:hint="eastAsia" w:ascii="宋体" w:hAnsi="宋体" w:cs="宋体"/>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360" w:lineRule="auto"/>
              <w:ind w:firstLine="420" w:firstLineChars="200"/>
              <w:rPr>
                <w:rFonts w:hint="eastAsia" w:ascii="宋体" w:hAnsi="宋体" w:cs="宋体"/>
                <w:sz w:val="21"/>
                <w:szCs w:val="21"/>
                <w:lang w:val="en-GB"/>
              </w:rPr>
            </w:pPr>
            <w:r>
              <w:rPr>
                <w:rFonts w:hint="eastAsia" w:ascii="宋体" w:hAnsi="宋体" w:cs="宋体"/>
                <w:sz w:val="21"/>
                <w:szCs w:val="21"/>
                <w:lang w:val="en-GB"/>
              </w:rPr>
              <w:t>公司办公产生的废硒鼓、废墨盒、色带由供应方公司回收；</w:t>
            </w:r>
          </w:p>
          <w:p>
            <w:pPr>
              <w:spacing w:line="360" w:lineRule="auto"/>
              <w:rPr>
                <w:rFonts w:hint="eastAsia" w:ascii="宋体" w:hAnsi="宋体" w:cs="宋体"/>
                <w:sz w:val="21"/>
                <w:szCs w:val="21"/>
              </w:rPr>
            </w:pPr>
            <w:r>
              <w:rPr>
                <w:rFonts w:hint="eastAsia" w:ascii="宋体" w:hAnsi="宋体" w:cs="宋体"/>
                <w:sz w:val="21"/>
                <w:szCs w:val="21"/>
              </w:rPr>
              <w:t>查：废弃物回收处理登记表</w:t>
            </w:r>
          </w:p>
          <w:p>
            <w:pPr>
              <w:spacing w:line="360" w:lineRule="auto"/>
              <w:rPr>
                <w:rFonts w:hint="eastAsia" w:ascii="宋体" w:hAnsi="宋体" w:cs="宋体"/>
                <w:sz w:val="21"/>
                <w:szCs w:val="21"/>
                <w:lang w:val="en-GB"/>
              </w:rPr>
            </w:pPr>
            <w:r>
              <w:rPr>
                <w:rFonts w:hint="eastAsia" w:ascii="宋体" w:hAnsi="宋体" w:cs="宋体"/>
                <w:sz w:val="21"/>
                <w:szCs w:val="21"/>
                <w:lang w:val="en-GB"/>
              </w:rPr>
              <w:t>废弃物种类</w:t>
            </w:r>
            <w:r>
              <w:rPr>
                <w:rFonts w:hint="eastAsia" w:ascii="宋体" w:hAnsi="宋体" w:cs="宋体"/>
                <w:sz w:val="21"/>
                <w:szCs w:val="21"/>
                <w:lang w:val="en-GB"/>
              </w:rPr>
              <w:tab/>
            </w:r>
            <w:r>
              <w:rPr>
                <w:rFonts w:hint="eastAsia" w:ascii="宋体" w:hAnsi="宋体" w:cs="宋体"/>
                <w:sz w:val="21"/>
                <w:szCs w:val="21"/>
                <w:lang w:val="en-US" w:eastAsia="zh-CN"/>
              </w:rPr>
              <w:t xml:space="preserve">         </w:t>
            </w:r>
            <w:r>
              <w:rPr>
                <w:rFonts w:hint="eastAsia" w:ascii="宋体" w:hAnsi="宋体" w:cs="宋体"/>
                <w:sz w:val="21"/>
                <w:szCs w:val="21"/>
                <w:lang w:val="en-GB"/>
              </w:rPr>
              <w:t xml:space="preserve">排放量  </w:t>
            </w:r>
            <w:r>
              <w:rPr>
                <w:rFonts w:hint="eastAsia" w:ascii="宋体" w:hAnsi="宋体" w:cs="宋体"/>
                <w:sz w:val="21"/>
                <w:szCs w:val="21"/>
                <w:lang w:val="en-US" w:eastAsia="zh-CN"/>
              </w:rPr>
              <w:t xml:space="preserve">       </w:t>
            </w:r>
            <w:r>
              <w:rPr>
                <w:rFonts w:ascii="宋体" w:hAnsi="宋体" w:cs="宋体"/>
                <w:sz w:val="21"/>
                <w:szCs w:val="21"/>
                <w:lang w:val="en-GB"/>
              </w:rPr>
              <w:t xml:space="preserve"> </w:t>
            </w:r>
            <w:r>
              <w:rPr>
                <w:rFonts w:hint="eastAsia" w:ascii="宋体" w:hAnsi="宋体" w:cs="宋体"/>
                <w:sz w:val="21"/>
                <w:szCs w:val="21"/>
                <w:lang w:val="en-GB"/>
              </w:rPr>
              <w:t>日期</w:t>
            </w:r>
            <w:r>
              <w:rPr>
                <w:rFonts w:hint="eastAsia" w:ascii="宋体" w:hAnsi="宋体" w:cs="宋体"/>
                <w:sz w:val="21"/>
                <w:szCs w:val="21"/>
                <w:lang w:val="en-GB"/>
              </w:rPr>
              <w:tab/>
            </w:r>
            <w:r>
              <w:rPr>
                <w:rFonts w:ascii="宋体" w:hAnsi="宋体" w:cs="宋体"/>
                <w:sz w:val="21"/>
                <w:szCs w:val="21"/>
                <w:lang w:val="en-GB"/>
              </w:rPr>
              <w:t xml:space="preserve">     </w:t>
            </w:r>
            <w:r>
              <w:rPr>
                <w:rFonts w:hint="eastAsia" w:ascii="宋体" w:hAnsi="宋体" w:cs="宋体"/>
                <w:sz w:val="21"/>
                <w:szCs w:val="21"/>
                <w:lang w:val="en-US" w:eastAsia="zh-CN"/>
              </w:rPr>
              <w:t xml:space="preserve">  </w:t>
            </w:r>
            <w:r>
              <w:rPr>
                <w:rFonts w:ascii="宋体" w:hAnsi="宋体" w:cs="宋体"/>
                <w:sz w:val="21"/>
                <w:szCs w:val="21"/>
                <w:lang w:val="en-GB"/>
              </w:rPr>
              <w:t xml:space="preserve"> </w:t>
            </w:r>
            <w:r>
              <w:rPr>
                <w:rFonts w:hint="eastAsia" w:ascii="宋体" w:hAnsi="宋体" w:cs="宋体"/>
                <w:sz w:val="21"/>
                <w:szCs w:val="21"/>
                <w:lang w:val="en-GB"/>
              </w:rPr>
              <w:t>统计人</w:t>
            </w:r>
            <w:r>
              <w:rPr>
                <w:rFonts w:hint="eastAsia" w:ascii="宋体" w:hAnsi="宋体" w:cs="宋体"/>
                <w:sz w:val="21"/>
                <w:szCs w:val="21"/>
                <w:lang w:val="en-GB"/>
              </w:rPr>
              <w:tab/>
            </w:r>
            <w:r>
              <w:rPr>
                <w:rFonts w:ascii="宋体" w:hAnsi="宋体" w:cs="宋体"/>
                <w:sz w:val="21"/>
                <w:szCs w:val="21"/>
                <w:lang w:val="en-GB"/>
              </w:rPr>
              <w:t xml:space="preserve">    </w:t>
            </w:r>
            <w:r>
              <w:rPr>
                <w:rFonts w:hint="eastAsia" w:ascii="宋体" w:hAnsi="宋体" w:cs="宋体"/>
                <w:sz w:val="21"/>
                <w:szCs w:val="21"/>
                <w:lang w:val="en-GB"/>
              </w:rPr>
              <w:t>处置办法</w:t>
            </w:r>
            <w:r>
              <w:rPr>
                <w:rFonts w:hint="eastAsia" w:ascii="宋体" w:hAnsi="宋体" w:cs="宋体"/>
                <w:sz w:val="21"/>
                <w:szCs w:val="21"/>
                <w:lang w:val="en-GB"/>
              </w:rPr>
              <w:tab/>
            </w:r>
          </w:p>
          <w:p>
            <w:pPr>
              <w:spacing w:line="360" w:lineRule="auto"/>
              <w:rPr>
                <w:rFonts w:hint="eastAsia" w:ascii="宋体" w:hAnsi="宋体" w:cs="宋体"/>
                <w:sz w:val="21"/>
                <w:szCs w:val="21"/>
                <w:lang w:val="en-GB"/>
              </w:rPr>
            </w:pPr>
            <w:r>
              <w:rPr>
                <w:rFonts w:hint="eastAsia" w:ascii="宋体" w:hAnsi="宋体" w:cs="宋体"/>
                <w:sz w:val="21"/>
                <w:szCs w:val="21"/>
                <w:lang w:val="en-GB"/>
              </w:rPr>
              <w:t>硒鼓</w:t>
            </w:r>
            <w:r>
              <w:rPr>
                <w:rFonts w:hint="eastAsia" w:ascii="宋体" w:hAnsi="宋体" w:cs="宋体"/>
                <w:sz w:val="21"/>
                <w:szCs w:val="21"/>
                <w:lang w:val="en-GB"/>
              </w:rPr>
              <w:tab/>
            </w:r>
            <w:r>
              <w:rPr>
                <w:rFonts w:hint="eastAsia" w:ascii="宋体" w:hAnsi="宋体" w:cs="宋体"/>
                <w:sz w:val="21"/>
                <w:szCs w:val="21"/>
                <w:lang w:val="en-US" w:eastAsia="zh-CN"/>
              </w:rPr>
              <w:t xml:space="preserve">               </w:t>
            </w:r>
            <w:r>
              <w:rPr>
                <w:rFonts w:hint="eastAsia" w:ascii="宋体" w:hAnsi="宋体" w:cs="宋体"/>
                <w:sz w:val="21"/>
                <w:szCs w:val="21"/>
                <w:lang w:val="en-GB"/>
              </w:rPr>
              <w:t>1</w:t>
            </w:r>
            <w:r>
              <w:rPr>
                <w:rFonts w:hint="eastAsia" w:ascii="宋体" w:hAnsi="宋体" w:cs="宋体"/>
                <w:sz w:val="21"/>
                <w:szCs w:val="21"/>
                <w:lang w:val="en-GB"/>
              </w:rPr>
              <w:tab/>
            </w:r>
            <w:r>
              <w:rPr>
                <w:rFonts w:hint="eastAsia" w:ascii="宋体" w:hAnsi="宋体" w:cs="宋体"/>
                <w:sz w:val="21"/>
                <w:szCs w:val="21"/>
                <w:lang w:val="en-US" w:eastAsia="zh-CN"/>
              </w:rPr>
              <w:t xml:space="preserve">      </w:t>
            </w:r>
            <w:r>
              <w:rPr>
                <w:rFonts w:hint="eastAsia" w:ascii="宋体" w:hAnsi="宋体" w:cs="宋体"/>
                <w:sz w:val="21"/>
                <w:szCs w:val="21"/>
                <w:lang w:val="en-GB"/>
              </w:rPr>
              <w:t>2019-10-7</w:t>
            </w:r>
            <w:r>
              <w:rPr>
                <w:rFonts w:hint="eastAsia" w:ascii="宋体" w:hAnsi="宋体" w:cs="宋体"/>
                <w:sz w:val="21"/>
                <w:szCs w:val="21"/>
                <w:lang w:val="en-GB"/>
              </w:rPr>
              <w:tab/>
            </w:r>
            <w:r>
              <w:rPr>
                <w:rFonts w:hint="eastAsia" w:ascii="宋体" w:hAnsi="宋体" w:cs="宋体"/>
                <w:sz w:val="21"/>
                <w:szCs w:val="21"/>
                <w:lang w:val="en-US" w:eastAsia="zh-CN"/>
              </w:rPr>
              <w:t xml:space="preserve">  </w:t>
            </w:r>
            <w:r>
              <w:rPr>
                <w:rFonts w:hint="eastAsia" w:ascii="宋体" w:hAnsi="宋体" w:cs="宋体"/>
                <w:sz w:val="21"/>
                <w:szCs w:val="21"/>
                <w:lang w:val="en-GB"/>
              </w:rPr>
              <w:tab/>
            </w:r>
            <w:r>
              <w:rPr>
                <w:rFonts w:hint="eastAsia" w:ascii="宋体" w:hAnsi="宋体" w:cs="宋体"/>
                <w:sz w:val="21"/>
                <w:szCs w:val="21"/>
                <w:lang w:val="en-US" w:eastAsia="zh-CN"/>
              </w:rPr>
              <w:t xml:space="preserve">     </w:t>
            </w:r>
            <w:r>
              <w:rPr>
                <w:rFonts w:hint="eastAsia" w:ascii="宋体" w:hAnsi="宋体" w:cs="宋体"/>
                <w:sz w:val="21"/>
                <w:szCs w:val="21"/>
                <w:lang w:val="en-GB"/>
              </w:rPr>
              <w:t>张金凤</w:t>
            </w:r>
            <w:r>
              <w:rPr>
                <w:rFonts w:hint="eastAsia" w:ascii="宋体" w:hAnsi="宋体" w:cs="宋体"/>
                <w:sz w:val="21"/>
                <w:szCs w:val="21"/>
                <w:lang w:val="en-US" w:eastAsia="zh-CN"/>
              </w:rPr>
              <w:t xml:space="preserve">     </w:t>
            </w:r>
            <w:r>
              <w:rPr>
                <w:rFonts w:hint="eastAsia" w:ascii="宋体" w:hAnsi="宋体" w:cs="宋体"/>
                <w:sz w:val="21"/>
                <w:szCs w:val="21"/>
                <w:lang w:val="en-GB"/>
              </w:rPr>
              <w:t>供应商</w:t>
            </w:r>
          </w:p>
          <w:p>
            <w:pPr>
              <w:spacing w:line="360" w:lineRule="auto"/>
              <w:rPr>
                <w:rFonts w:hint="eastAsia" w:ascii="宋体" w:hAnsi="宋体" w:cs="宋体"/>
                <w:sz w:val="21"/>
                <w:szCs w:val="21"/>
                <w:lang w:val="en-GB"/>
              </w:rPr>
            </w:pPr>
            <w:r>
              <w:rPr>
                <w:rFonts w:hint="eastAsia" w:ascii="宋体" w:hAnsi="宋体" w:cs="宋体"/>
                <w:sz w:val="21"/>
                <w:szCs w:val="21"/>
                <w:lang w:val="en-GB"/>
              </w:rPr>
              <w:t>废纸、扎带等</w:t>
            </w:r>
            <w:r>
              <w:rPr>
                <w:rFonts w:hint="eastAsia" w:ascii="宋体" w:hAnsi="宋体" w:cs="宋体"/>
                <w:sz w:val="21"/>
                <w:szCs w:val="21"/>
                <w:lang w:val="en-GB"/>
              </w:rPr>
              <w:tab/>
            </w:r>
            <w:r>
              <w:rPr>
                <w:rFonts w:hint="eastAsia" w:ascii="宋体" w:hAnsi="宋体" w:cs="宋体"/>
                <w:sz w:val="21"/>
                <w:szCs w:val="21"/>
                <w:lang w:val="en-US" w:eastAsia="zh-CN"/>
              </w:rPr>
              <w:t xml:space="preserve">      </w:t>
            </w:r>
            <w:r>
              <w:rPr>
                <w:rFonts w:hint="eastAsia" w:ascii="宋体" w:hAnsi="宋体" w:cs="宋体"/>
                <w:sz w:val="21"/>
                <w:szCs w:val="21"/>
                <w:lang w:val="en-GB"/>
              </w:rPr>
              <w:t>2kg</w:t>
            </w:r>
            <w:r>
              <w:rPr>
                <w:rFonts w:hint="eastAsia" w:ascii="宋体" w:hAnsi="宋体" w:cs="宋体"/>
                <w:sz w:val="21"/>
                <w:szCs w:val="21"/>
                <w:lang w:val="en-GB"/>
              </w:rPr>
              <w:tab/>
            </w:r>
            <w:r>
              <w:rPr>
                <w:rFonts w:hint="eastAsia" w:ascii="宋体" w:hAnsi="宋体" w:cs="宋体"/>
                <w:sz w:val="21"/>
                <w:szCs w:val="21"/>
                <w:lang w:val="en-US" w:eastAsia="zh-CN"/>
              </w:rPr>
              <w:t xml:space="preserve">      </w:t>
            </w:r>
            <w:r>
              <w:rPr>
                <w:rFonts w:hint="eastAsia" w:ascii="宋体" w:hAnsi="宋体" w:cs="宋体"/>
                <w:sz w:val="21"/>
                <w:szCs w:val="21"/>
                <w:lang w:val="en-GB"/>
              </w:rPr>
              <w:t>2019-11-3</w:t>
            </w:r>
            <w:r>
              <w:rPr>
                <w:rFonts w:hint="eastAsia" w:ascii="宋体" w:hAnsi="宋体" w:cs="宋体"/>
                <w:sz w:val="21"/>
                <w:szCs w:val="21"/>
                <w:lang w:val="en-GB"/>
              </w:rPr>
              <w:tab/>
            </w:r>
            <w:r>
              <w:rPr>
                <w:rFonts w:hint="eastAsia" w:ascii="宋体" w:hAnsi="宋体" w:cs="宋体"/>
                <w:sz w:val="21"/>
                <w:szCs w:val="21"/>
                <w:lang w:val="en-US" w:eastAsia="zh-CN"/>
              </w:rPr>
              <w:t xml:space="preserve">                    </w:t>
            </w:r>
            <w:r>
              <w:rPr>
                <w:rFonts w:hint="eastAsia" w:ascii="宋体" w:hAnsi="宋体" w:cs="宋体"/>
                <w:sz w:val="21"/>
                <w:szCs w:val="21"/>
                <w:lang w:val="en-GB"/>
              </w:rPr>
              <w:t>废品处理站</w:t>
            </w:r>
            <w:r>
              <w:rPr>
                <w:rFonts w:hint="eastAsia" w:ascii="宋体" w:hAnsi="宋体" w:cs="宋体"/>
                <w:sz w:val="21"/>
                <w:szCs w:val="21"/>
                <w:lang w:val="en-GB"/>
              </w:rPr>
              <w:tab/>
            </w:r>
          </w:p>
          <w:p>
            <w:pPr>
              <w:spacing w:line="360" w:lineRule="auto"/>
              <w:rPr>
                <w:rFonts w:ascii="宋体" w:hAnsi="宋体" w:cs="宋体"/>
                <w:sz w:val="21"/>
                <w:szCs w:val="21"/>
                <w:lang w:val="en-GB"/>
              </w:rPr>
            </w:pPr>
            <w:r>
              <w:rPr>
                <w:rFonts w:hint="eastAsia" w:ascii="宋体" w:hAnsi="宋体" w:cs="宋体"/>
                <w:sz w:val="21"/>
                <w:szCs w:val="21"/>
                <w:lang w:val="en-GB"/>
              </w:rPr>
              <w:t>生活垃圾</w:t>
            </w:r>
            <w:r>
              <w:rPr>
                <w:rFonts w:hint="eastAsia" w:ascii="宋体" w:hAnsi="宋体" w:cs="宋体"/>
                <w:sz w:val="21"/>
                <w:szCs w:val="21"/>
                <w:lang w:val="en-GB"/>
              </w:rPr>
              <w:tab/>
            </w:r>
            <w:r>
              <w:rPr>
                <w:rFonts w:hint="eastAsia" w:ascii="宋体" w:hAnsi="宋体" w:cs="宋体"/>
                <w:sz w:val="21"/>
                <w:szCs w:val="21"/>
                <w:lang w:val="en-GB"/>
              </w:rPr>
              <w:tab/>
            </w:r>
            <w:r>
              <w:rPr>
                <w:rFonts w:hint="eastAsia" w:ascii="宋体" w:hAnsi="宋体" w:cs="宋体"/>
                <w:sz w:val="21"/>
                <w:szCs w:val="21"/>
                <w:lang w:val="en-US" w:eastAsia="zh-CN"/>
              </w:rPr>
              <w:t xml:space="preserve">                                             </w:t>
            </w:r>
            <w:r>
              <w:rPr>
                <w:rFonts w:hint="eastAsia" w:ascii="宋体" w:hAnsi="宋体" w:cs="宋体"/>
                <w:sz w:val="21"/>
                <w:szCs w:val="21"/>
                <w:lang w:val="en-GB"/>
              </w:rPr>
              <w:tab/>
            </w:r>
            <w:r>
              <w:rPr>
                <w:rFonts w:hint="eastAsia" w:ascii="宋体" w:hAnsi="宋体" w:cs="宋体"/>
                <w:sz w:val="21"/>
                <w:szCs w:val="21"/>
                <w:lang w:val="en-GB"/>
              </w:rPr>
              <w:t>环卫</w:t>
            </w:r>
            <w:r>
              <w:rPr>
                <w:rFonts w:hint="eastAsia" w:ascii="宋体" w:hAnsi="宋体" w:cs="宋体"/>
                <w:sz w:val="21"/>
                <w:szCs w:val="21"/>
                <w:lang w:val="en-GB"/>
              </w:rPr>
              <w:tab/>
            </w:r>
          </w:p>
          <w:p>
            <w:pPr>
              <w:spacing w:line="360" w:lineRule="auto"/>
              <w:ind w:firstLine="420" w:firstLineChars="200"/>
              <w:rPr>
                <w:rFonts w:hint="eastAsia" w:ascii="宋体" w:hAnsi="宋体" w:cs="宋体"/>
                <w:sz w:val="21"/>
                <w:szCs w:val="21"/>
                <w:lang w:val="en-GB"/>
              </w:rPr>
            </w:pPr>
            <w:r>
              <w:rPr>
                <w:rFonts w:hint="eastAsia" w:ascii="宋体" w:hAnsi="宋体" w:cs="宋体"/>
                <w:sz w:val="21"/>
                <w:szCs w:val="21"/>
                <w:lang w:val="en-GB"/>
              </w:rPr>
              <w:t>公司为员工缴纳了养老、工伤、医疗等保险。</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驾驶员要求遵守道路交通安全法，不违章驾车，驾驶证和车辆定期年审，确保行车安全。</w:t>
            </w:r>
          </w:p>
          <w:p>
            <w:pPr>
              <w:spacing w:line="360" w:lineRule="auto"/>
              <w:ind w:firstLine="420" w:firstLineChars="200"/>
              <w:rPr>
                <w:rFonts w:ascii="宋体" w:hAnsi="宋体" w:cs="宋体"/>
                <w:sz w:val="21"/>
                <w:szCs w:val="21"/>
              </w:rPr>
            </w:pPr>
            <w:r>
              <w:rPr>
                <w:rFonts w:hint="eastAsia" w:ascii="宋体" w:hAnsi="宋体" w:cs="宋体"/>
                <w:sz w:val="21"/>
                <w:szCs w:val="21"/>
              </w:rPr>
              <w:t>现场查看办公区域配备有电脑、打印机复印件、电器状态良好，无安全隐患。</w:t>
            </w:r>
          </w:p>
          <w:p>
            <w:pPr>
              <w:pStyle w:val="2"/>
              <w:spacing w:line="360" w:lineRule="auto"/>
              <w:rPr>
                <w:rFonts w:ascii="宋体" w:hAnsi="宋体" w:cs="宋体"/>
                <w:bCs w:val="0"/>
                <w:spacing w:val="0"/>
                <w:sz w:val="21"/>
                <w:szCs w:val="21"/>
              </w:rPr>
            </w:pPr>
            <w:r>
              <w:rPr>
                <w:rFonts w:hint="eastAsia"/>
              </w:rPr>
              <w:t xml:space="preserve"> </w:t>
            </w:r>
            <w:r>
              <w:t xml:space="preserve">  </w:t>
            </w:r>
            <w:r>
              <w:rPr>
                <w:rFonts w:hint="eastAsia" w:ascii="宋体" w:hAnsi="宋体" w:cs="宋体"/>
                <w:bCs w:val="0"/>
                <w:spacing w:val="0"/>
                <w:sz w:val="21"/>
                <w:szCs w:val="21"/>
              </w:rPr>
              <w:t>提供养老保险缴费单，交费金额2</w:t>
            </w:r>
            <w:r>
              <w:rPr>
                <w:rFonts w:ascii="宋体" w:hAnsi="宋体" w:cs="宋体"/>
                <w:bCs w:val="0"/>
                <w:spacing w:val="0"/>
                <w:sz w:val="21"/>
                <w:szCs w:val="21"/>
              </w:rPr>
              <w:t>019</w:t>
            </w:r>
            <w:r>
              <w:rPr>
                <w:rFonts w:hint="eastAsia" w:ascii="宋体" w:hAnsi="宋体" w:cs="宋体"/>
                <w:bCs w:val="0"/>
                <w:spacing w:val="0"/>
                <w:sz w:val="21"/>
                <w:szCs w:val="21"/>
              </w:rPr>
              <w:t>年</w:t>
            </w:r>
            <w:r>
              <w:rPr>
                <w:rFonts w:ascii="宋体" w:hAnsi="宋体" w:cs="宋体"/>
                <w:bCs w:val="0"/>
                <w:spacing w:val="0"/>
                <w:sz w:val="21"/>
                <w:szCs w:val="21"/>
              </w:rPr>
              <w:t>9</w:t>
            </w:r>
            <w:r>
              <w:rPr>
                <w:rFonts w:hint="eastAsia" w:ascii="宋体" w:hAnsi="宋体" w:cs="宋体"/>
                <w:bCs w:val="0"/>
                <w:spacing w:val="0"/>
                <w:sz w:val="21"/>
                <w:szCs w:val="21"/>
              </w:rPr>
              <w:t>-</w:t>
            </w:r>
            <w:r>
              <w:rPr>
                <w:rFonts w:ascii="宋体" w:hAnsi="宋体" w:cs="宋体"/>
                <w:bCs w:val="0"/>
                <w:spacing w:val="0"/>
                <w:sz w:val="21"/>
                <w:szCs w:val="21"/>
              </w:rPr>
              <w:t>12</w:t>
            </w:r>
            <w:r>
              <w:rPr>
                <w:rFonts w:hint="eastAsia" w:ascii="宋体" w:hAnsi="宋体" w:cs="宋体"/>
                <w:bCs w:val="0"/>
                <w:spacing w:val="0"/>
                <w:sz w:val="21"/>
                <w:szCs w:val="21"/>
              </w:rPr>
              <w:t>月9</w:t>
            </w:r>
            <w:r>
              <w:rPr>
                <w:rFonts w:ascii="宋体" w:hAnsi="宋体" w:cs="宋体"/>
                <w:bCs w:val="0"/>
                <w:spacing w:val="0"/>
                <w:sz w:val="21"/>
                <w:szCs w:val="21"/>
              </w:rPr>
              <w:t>600</w:t>
            </w:r>
            <w:r>
              <w:rPr>
                <w:rFonts w:hint="eastAsia" w:ascii="宋体" w:hAnsi="宋体" w:cs="宋体"/>
                <w:bCs w:val="0"/>
                <w:spacing w:val="0"/>
                <w:sz w:val="21"/>
                <w:szCs w:val="21"/>
              </w:rPr>
              <w:t>元；</w:t>
            </w:r>
          </w:p>
          <w:p>
            <w:pPr>
              <w:pStyle w:val="2"/>
              <w:spacing w:line="360" w:lineRule="auto"/>
              <w:ind w:firstLine="420"/>
              <w:rPr>
                <w:rFonts w:ascii="宋体" w:hAnsi="宋体" w:cs="宋体"/>
                <w:bCs w:val="0"/>
                <w:spacing w:val="0"/>
                <w:sz w:val="21"/>
                <w:szCs w:val="21"/>
              </w:rPr>
            </w:pPr>
            <w:r>
              <w:rPr>
                <w:rFonts w:hint="eastAsia" w:ascii="宋体" w:hAnsi="宋体" w:cs="宋体"/>
                <w:bCs w:val="0"/>
                <w:spacing w:val="0"/>
                <w:sz w:val="21"/>
                <w:szCs w:val="21"/>
              </w:rPr>
              <w:t>提供体检报告单，供体检费共计1</w:t>
            </w:r>
            <w:r>
              <w:rPr>
                <w:rFonts w:ascii="宋体" w:hAnsi="宋体" w:cs="宋体"/>
                <w:bCs w:val="0"/>
                <w:spacing w:val="0"/>
                <w:sz w:val="21"/>
                <w:szCs w:val="21"/>
              </w:rPr>
              <w:t>800</w:t>
            </w:r>
            <w:r>
              <w:rPr>
                <w:rFonts w:hint="eastAsia" w:ascii="宋体" w:hAnsi="宋体" w:cs="宋体"/>
                <w:bCs w:val="0"/>
                <w:spacing w:val="0"/>
                <w:sz w:val="21"/>
                <w:szCs w:val="21"/>
              </w:rPr>
              <w:t>元，无职业病记录</w:t>
            </w:r>
            <w:r>
              <w:rPr>
                <w:rFonts w:ascii="宋体" w:hAnsi="宋体" w:cs="宋体"/>
                <w:bCs w:val="0"/>
                <w:spacing w:val="0"/>
                <w:sz w:val="21"/>
                <w:szCs w:val="21"/>
              </w:rPr>
              <w:t>.</w:t>
            </w:r>
          </w:p>
          <w:p>
            <w:pPr>
              <w:pStyle w:val="2"/>
              <w:spacing w:line="360" w:lineRule="auto"/>
              <w:ind w:firstLine="420"/>
              <w:rPr>
                <w:rFonts w:hint="eastAsia" w:ascii="宋体" w:hAnsi="宋体" w:cs="宋体"/>
                <w:bCs w:val="0"/>
                <w:spacing w:val="0"/>
                <w:sz w:val="21"/>
                <w:szCs w:val="21"/>
              </w:rPr>
            </w:pPr>
            <w:r>
              <w:rPr>
                <w:rFonts w:hint="eastAsia" w:ascii="宋体" w:hAnsi="宋体" w:cs="宋体"/>
                <w:bCs w:val="0"/>
                <w:spacing w:val="0"/>
                <w:sz w:val="21"/>
                <w:szCs w:val="21"/>
              </w:rPr>
              <w:t>其他培训费、水电费约2</w:t>
            </w:r>
            <w:r>
              <w:rPr>
                <w:rFonts w:ascii="宋体" w:hAnsi="宋体" w:cs="宋体"/>
                <w:bCs w:val="0"/>
                <w:spacing w:val="0"/>
                <w:sz w:val="21"/>
                <w:szCs w:val="21"/>
              </w:rPr>
              <w:t>000</w:t>
            </w:r>
            <w:r>
              <w:rPr>
                <w:rFonts w:hint="eastAsia" w:ascii="宋体" w:hAnsi="宋体" w:cs="宋体"/>
                <w:bCs w:val="0"/>
                <w:spacing w:val="0"/>
                <w:sz w:val="21"/>
                <w:szCs w:val="21"/>
              </w:rPr>
              <w:t>元左右。公司例行节约，全员环保、安全意识较高。</w:t>
            </w:r>
          </w:p>
          <w:p>
            <w:pPr>
              <w:pStyle w:val="2"/>
              <w:spacing w:line="360" w:lineRule="auto"/>
              <w:ind w:firstLine="420" w:firstLineChars="200"/>
              <w:rPr>
                <w:rFonts w:hint="eastAsia" w:ascii="宋体" w:hAnsi="宋体" w:cs="宋体"/>
                <w:bCs w:val="0"/>
                <w:spacing w:val="0"/>
                <w:sz w:val="21"/>
                <w:szCs w:val="21"/>
              </w:rPr>
            </w:pPr>
            <w:r>
              <w:rPr>
                <w:rFonts w:hint="eastAsia" w:ascii="宋体" w:hAnsi="宋体" w:cs="宋体"/>
                <w:bCs w:val="0"/>
                <w:spacing w:val="0"/>
                <w:sz w:val="21"/>
                <w:szCs w:val="21"/>
              </w:rPr>
              <w:t>提供了每季度工作环境检查表，抽查： 201</w:t>
            </w:r>
            <w:r>
              <w:rPr>
                <w:rFonts w:ascii="宋体" w:hAnsi="宋体" w:cs="宋体"/>
                <w:bCs w:val="0"/>
                <w:spacing w:val="0"/>
                <w:sz w:val="21"/>
                <w:szCs w:val="21"/>
              </w:rPr>
              <w:t>9</w:t>
            </w:r>
            <w:r>
              <w:rPr>
                <w:rFonts w:hint="eastAsia" w:ascii="宋体" w:hAnsi="宋体" w:cs="宋体"/>
                <w:bCs w:val="0"/>
                <w:spacing w:val="0"/>
                <w:sz w:val="21"/>
                <w:szCs w:val="21"/>
              </w:rPr>
              <w:t>.</w:t>
            </w:r>
            <w:r>
              <w:rPr>
                <w:rFonts w:ascii="宋体" w:hAnsi="宋体" w:cs="宋体"/>
                <w:bCs w:val="0"/>
                <w:spacing w:val="0"/>
                <w:sz w:val="21"/>
                <w:szCs w:val="21"/>
              </w:rPr>
              <w:t>10</w:t>
            </w:r>
            <w:r>
              <w:rPr>
                <w:rFonts w:hint="eastAsia" w:ascii="宋体" w:hAnsi="宋体" w:cs="宋体"/>
                <w:bCs w:val="0"/>
                <w:spacing w:val="0"/>
                <w:sz w:val="21"/>
                <w:szCs w:val="21"/>
              </w:rPr>
              <w:t>.3</w:t>
            </w:r>
            <w:r>
              <w:rPr>
                <w:rFonts w:ascii="宋体" w:hAnsi="宋体" w:cs="宋体"/>
                <w:bCs w:val="0"/>
                <w:spacing w:val="0"/>
                <w:sz w:val="21"/>
                <w:szCs w:val="21"/>
              </w:rPr>
              <w:t>1</w:t>
            </w:r>
            <w:r>
              <w:rPr>
                <w:rFonts w:hint="eastAsia" w:ascii="宋体" w:hAnsi="宋体" w:cs="宋体"/>
                <w:bCs w:val="0"/>
                <w:spacing w:val="0"/>
                <w:sz w:val="21"/>
                <w:szCs w:val="21"/>
              </w:rPr>
              <w:t>和201</w:t>
            </w:r>
            <w:r>
              <w:rPr>
                <w:rFonts w:ascii="宋体" w:hAnsi="宋体" w:cs="宋体"/>
                <w:bCs w:val="0"/>
                <w:spacing w:val="0"/>
                <w:sz w:val="21"/>
                <w:szCs w:val="21"/>
              </w:rPr>
              <w:t>9</w:t>
            </w:r>
            <w:r>
              <w:rPr>
                <w:rFonts w:hint="eastAsia" w:ascii="宋体" w:hAnsi="宋体" w:cs="宋体"/>
                <w:bCs w:val="0"/>
                <w:spacing w:val="0"/>
                <w:sz w:val="21"/>
                <w:szCs w:val="21"/>
              </w:rPr>
              <w:t>.</w:t>
            </w:r>
            <w:r>
              <w:rPr>
                <w:rFonts w:ascii="宋体" w:hAnsi="宋体" w:cs="宋体"/>
                <w:bCs w:val="0"/>
                <w:spacing w:val="0"/>
                <w:sz w:val="21"/>
                <w:szCs w:val="21"/>
              </w:rPr>
              <w:t>12</w:t>
            </w:r>
            <w:r>
              <w:rPr>
                <w:rFonts w:hint="eastAsia" w:ascii="宋体" w:hAnsi="宋体" w:cs="宋体"/>
                <w:bCs w:val="0"/>
                <w:spacing w:val="0"/>
                <w:sz w:val="21"/>
                <w:szCs w:val="21"/>
              </w:rPr>
              <w:t>.30、</w:t>
            </w:r>
            <w:r>
              <w:rPr>
                <w:rFonts w:ascii="宋体" w:hAnsi="宋体" w:cs="宋体"/>
                <w:bCs w:val="0"/>
                <w:spacing w:val="0"/>
                <w:sz w:val="21"/>
                <w:szCs w:val="21"/>
              </w:rPr>
              <w:t>2020.3.31</w:t>
            </w:r>
            <w:r>
              <w:rPr>
                <w:rFonts w:hint="eastAsia" w:ascii="宋体" w:hAnsi="宋体" w:cs="宋体"/>
                <w:bCs w:val="0"/>
                <w:spacing w:val="0"/>
                <w:sz w:val="21"/>
                <w:szCs w:val="21"/>
              </w:rPr>
              <w:t>的检查表，对办公环境、卫生等情况进行了检查，检查人：豆亚涛，无问题。</w:t>
            </w:r>
          </w:p>
          <w:p>
            <w:pPr>
              <w:pStyle w:val="2"/>
              <w:spacing w:line="360" w:lineRule="auto"/>
            </w:pPr>
            <w:r>
              <w:rPr>
                <w:rFonts w:hint="eastAsia"/>
                <w:sz w:val="21"/>
                <w:szCs w:val="21"/>
              </w:rPr>
              <w:t xml:space="preserve"> </w:t>
            </w:r>
            <w:r>
              <w:rPr>
                <w:sz w:val="21"/>
                <w:szCs w:val="21"/>
              </w:rPr>
              <w:t xml:space="preserve">  </w:t>
            </w:r>
            <w:r>
              <w:rPr>
                <w:rFonts w:hint="eastAsia"/>
                <w:sz w:val="21"/>
                <w:szCs w:val="21"/>
              </w:rPr>
              <w:t>无食堂宿舍。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747" w:type="dxa"/>
            <w:vAlign w:val="center"/>
          </w:tcPr>
          <w:p>
            <w:pPr>
              <w:spacing w:line="480" w:lineRule="auto"/>
            </w:pPr>
            <w:r>
              <w:rPr>
                <w:rFonts w:hint="eastAsia"/>
                <w:sz w:val="21"/>
                <w:szCs w:val="21"/>
              </w:rPr>
              <w:t>应急准备和响应</w:t>
            </w:r>
          </w:p>
        </w:tc>
        <w:tc>
          <w:tcPr>
            <w:tcW w:w="1373" w:type="dxa"/>
            <w:vAlign w:val="center"/>
          </w:tcPr>
          <w:p>
            <w:pPr>
              <w:spacing w:line="480" w:lineRule="auto"/>
              <w:rPr>
                <w:rFonts w:hint="eastAsia"/>
                <w:sz w:val="21"/>
                <w:szCs w:val="21"/>
              </w:rPr>
            </w:pPr>
          </w:p>
          <w:p>
            <w:pPr>
              <w:spacing w:line="480" w:lineRule="auto"/>
              <w:rPr>
                <w:rFonts w:hint="eastAsia"/>
                <w:sz w:val="21"/>
                <w:szCs w:val="21"/>
              </w:rPr>
            </w:pPr>
            <w:r>
              <w:rPr>
                <w:rFonts w:hint="eastAsia"/>
                <w:sz w:val="21"/>
                <w:szCs w:val="21"/>
              </w:rPr>
              <w:t>E</w:t>
            </w:r>
            <w:r>
              <w:rPr>
                <w:sz w:val="21"/>
                <w:szCs w:val="21"/>
              </w:rPr>
              <w:t>S</w:t>
            </w:r>
            <w:r>
              <w:rPr>
                <w:rFonts w:hint="eastAsia"/>
                <w:sz w:val="21"/>
                <w:szCs w:val="21"/>
              </w:rPr>
              <w:t>8.2</w:t>
            </w:r>
          </w:p>
          <w:p>
            <w:pPr>
              <w:spacing w:line="480" w:lineRule="auto"/>
            </w:pPr>
          </w:p>
        </w:tc>
        <w:tc>
          <w:tcPr>
            <w:tcW w:w="10004" w:type="dxa"/>
            <w:vAlign w:val="center"/>
          </w:tcPr>
          <w:p>
            <w:pPr>
              <w:spacing w:line="480" w:lineRule="auto"/>
              <w:ind w:firstLine="420" w:firstLineChars="200"/>
              <w:rPr>
                <w:rFonts w:hint="eastAsia"/>
                <w:sz w:val="21"/>
                <w:szCs w:val="21"/>
              </w:rPr>
            </w:pPr>
            <w:r>
              <w:rPr>
                <w:rFonts w:hint="eastAsia"/>
                <w:sz w:val="21"/>
                <w:szCs w:val="21"/>
              </w:rPr>
              <w:t>制定了《应急控制程序》，包含有事件级别及不同级别事件的处理程序、事件处理组织机构及职责分工、通用及特殊处理程序、各岗位要求等。具有可操作性。</w:t>
            </w:r>
          </w:p>
          <w:p>
            <w:pPr>
              <w:spacing w:line="480" w:lineRule="auto"/>
              <w:ind w:firstLine="420" w:firstLineChars="200"/>
              <w:rPr>
                <w:rFonts w:hint="eastAsia"/>
                <w:sz w:val="21"/>
                <w:szCs w:val="21"/>
              </w:rPr>
            </w:pPr>
            <w:r>
              <w:rPr>
                <w:rFonts w:hint="eastAsia"/>
                <w:sz w:val="21"/>
                <w:szCs w:val="21"/>
              </w:rPr>
              <w:t>201</w:t>
            </w:r>
            <w:r>
              <w:rPr>
                <w:sz w:val="21"/>
                <w:szCs w:val="21"/>
              </w:rPr>
              <w:t>9</w:t>
            </w:r>
            <w:r>
              <w:rPr>
                <w:rFonts w:hint="eastAsia"/>
                <w:sz w:val="21"/>
                <w:szCs w:val="21"/>
              </w:rPr>
              <w:t>.</w:t>
            </w:r>
            <w:r>
              <w:rPr>
                <w:sz w:val="21"/>
                <w:szCs w:val="21"/>
              </w:rPr>
              <w:t>9</w:t>
            </w:r>
            <w:r>
              <w:rPr>
                <w:rFonts w:hint="eastAsia"/>
                <w:sz w:val="21"/>
                <w:szCs w:val="21"/>
              </w:rPr>
              <w:t>编制演练计划，抽查火灾应急预案演习201</w:t>
            </w:r>
            <w:r>
              <w:rPr>
                <w:sz w:val="21"/>
                <w:szCs w:val="21"/>
              </w:rPr>
              <w:t>9</w:t>
            </w:r>
            <w:r>
              <w:rPr>
                <w:rFonts w:hint="eastAsia"/>
                <w:sz w:val="21"/>
                <w:szCs w:val="21"/>
              </w:rPr>
              <w:t>.</w:t>
            </w:r>
            <w:r>
              <w:rPr>
                <w:sz w:val="21"/>
                <w:szCs w:val="21"/>
              </w:rPr>
              <w:t>12</w:t>
            </w:r>
            <w:r>
              <w:rPr>
                <w:rFonts w:hint="eastAsia"/>
                <w:sz w:val="21"/>
                <w:szCs w:val="21"/>
              </w:rPr>
              <w:t>.</w:t>
            </w:r>
            <w:r>
              <w:rPr>
                <w:sz w:val="21"/>
                <w:szCs w:val="21"/>
              </w:rPr>
              <w:t>25</w:t>
            </w:r>
            <w:r>
              <w:rPr>
                <w:rFonts w:hint="eastAsia"/>
                <w:sz w:val="21"/>
                <w:szCs w:val="21"/>
              </w:rPr>
              <w:t>，在公司办公楼外进行，</w:t>
            </w:r>
          </w:p>
          <w:p>
            <w:pPr>
              <w:spacing w:line="480" w:lineRule="auto"/>
              <w:ind w:firstLine="420" w:firstLineChars="200"/>
              <w:rPr>
                <w:rFonts w:hint="eastAsia"/>
                <w:sz w:val="21"/>
                <w:szCs w:val="21"/>
              </w:rPr>
            </w:pPr>
            <w:r>
              <w:rPr>
                <w:rFonts w:hint="eastAsia"/>
                <w:sz w:val="21"/>
                <w:szCs w:val="21"/>
              </w:rPr>
              <w:t>结论：通过演练验证预案适宜。</w:t>
            </w:r>
          </w:p>
          <w:p>
            <w:pPr>
              <w:spacing w:line="480" w:lineRule="auto"/>
              <w:ind w:firstLine="420" w:firstLineChars="200"/>
              <w:rPr>
                <w:rFonts w:hint="eastAsia"/>
                <w:sz w:val="21"/>
                <w:szCs w:val="21"/>
              </w:rPr>
            </w:pPr>
            <w:r>
              <w:rPr>
                <w:rFonts w:hint="eastAsia"/>
                <w:sz w:val="21"/>
                <w:szCs w:val="21"/>
              </w:rPr>
              <w:t>提供了应急设备器具台账，出示消防演习方案，明确了活动时间、地点、演习科目、参加人数、现场布置示意图、紧急疏散示意图、义务消防队成员及职责分工、联系方式等内容，内容具体清楚。</w:t>
            </w:r>
          </w:p>
          <w:p>
            <w:pPr>
              <w:pStyle w:val="2"/>
              <w:spacing w:line="480" w:lineRule="auto"/>
              <w:ind w:firstLine="460" w:firstLineChars="200"/>
            </w:pPr>
            <w:r>
              <w:rPr>
                <w:rFonts w:hint="eastAsia"/>
                <w:sz w:val="21"/>
                <w:szCs w:val="21"/>
              </w:rPr>
              <w:t>应急演练后对应急预案进行了评审，给出的结论，预案基本满足要求，不需修订。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47" w:type="dxa"/>
            <w:vAlign w:val="center"/>
          </w:tcPr>
          <w:p>
            <w:pPr>
              <w:spacing w:line="360" w:lineRule="auto"/>
              <w:rPr>
                <w:rFonts w:hint="eastAsia" w:ascii="宋体" w:hAnsi="宋体" w:eastAsia="宋体" w:cs="宋体"/>
              </w:rPr>
            </w:pPr>
            <w:r>
              <w:rPr>
                <w:rFonts w:hint="eastAsia" w:ascii="宋体" w:hAnsi="宋体" w:eastAsia="宋体" w:cs="宋体"/>
                <w:sz w:val="21"/>
                <w:szCs w:val="21"/>
              </w:rPr>
              <w:t>内部审核</w:t>
            </w:r>
          </w:p>
        </w:tc>
        <w:tc>
          <w:tcPr>
            <w:tcW w:w="1373" w:type="dxa"/>
            <w:vAlign w:val="center"/>
          </w:tcPr>
          <w:p>
            <w:pPr>
              <w:spacing w:line="360" w:lineRule="auto"/>
              <w:rPr>
                <w:rFonts w:hint="eastAsia" w:ascii="宋体" w:hAnsi="宋体" w:eastAsia="宋体" w:cs="宋体"/>
              </w:rPr>
            </w:pPr>
            <w:r>
              <w:rPr>
                <w:rFonts w:hint="eastAsia" w:ascii="宋体" w:hAnsi="宋体" w:eastAsia="宋体" w:cs="宋体"/>
                <w:sz w:val="21"/>
                <w:szCs w:val="21"/>
              </w:rPr>
              <w:t>QES9.2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公司制定《内部审核控制程序》，对内部审核方案策划规定：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1.频次：内审每年进行一次，两次内部审核的时间间隔不超过12个月。</w:t>
            </w:r>
          </w:p>
          <w:p>
            <w:pPr>
              <w:spacing w:line="360" w:lineRule="auto"/>
              <w:rPr>
                <w:rFonts w:hint="eastAsia" w:ascii="宋体" w:hAnsi="宋体" w:eastAsia="宋体" w:cs="宋体"/>
                <w:sz w:val="21"/>
                <w:szCs w:val="21"/>
              </w:rPr>
            </w:pPr>
            <w:r>
              <w:rPr>
                <w:rFonts w:hint="eastAsia" w:ascii="宋体" w:hAnsi="宋体" w:eastAsia="宋体" w:cs="宋体"/>
                <w:sz w:val="21"/>
                <w:szCs w:val="21"/>
              </w:rPr>
              <w:t>2.方法：按部门/过程审核。</w:t>
            </w:r>
          </w:p>
          <w:p>
            <w:pPr>
              <w:spacing w:line="360" w:lineRule="auto"/>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spacing w:line="360" w:lineRule="auto"/>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6.提供了《2019年内部审核实施计划》，计划内容有：目的、范围、审核准则、审核时间2019年12月28日。</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编制：豆亚涛  日期：2019. 12.25  批准：豆胜怀   </w:t>
            </w:r>
          </w:p>
          <w:p>
            <w:pPr>
              <w:spacing w:line="360" w:lineRule="auto"/>
              <w:rPr>
                <w:rFonts w:hint="eastAsia" w:ascii="宋体" w:hAnsi="宋体" w:eastAsia="宋体" w:cs="宋体"/>
                <w:sz w:val="21"/>
                <w:szCs w:val="21"/>
              </w:rPr>
            </w:pPr>
            <w:r>
              <w:rPr>
                <w:rFonts w:hint="eastAsia" w:ascii="宋体" w:hAnsi="宋体" w:eastAsia="宋体" w:cs="宋体"/>
                <w:sz w:val="21"/>
                <w:szCs w:val="21"/>
              </w:rPr>
              <w:t>查阅2019年度内部审核有关记录</w:t>
            </w:r>
          </w:p>
          <w:p>
            <w:pPr>
              <w:numPr>
                <w:ilvl w:val="0"/>
                <w:numId w:val="4"/>
              </w:numPr>
              <w:spacing w:line="360" w:lineRule="auto"/>
              <w:rPr>
                <w:rFonts w:hint="eastAsia" w:ascii="宋体" w:hAnsi="宋体" w:eastAsia="宋体" w:cs="宋体"/>
                <w:sz w:val="21"/>
                <w:szCs w:val="21"/>
              </w:rPr>
            </w:pPr>
            <w:r>
              <w:rPr>
                <w:rFonts w:hint="eastAsia" w:ascii="宋体" w:hAnsi="宋体" w:eastAsia="宋体" w:cs="宋体"/>
                <w:sz w:val="21"/>
                <w:szCs w:val="21"/>
              </w:rPr>
              <w:t>提供了审核组名单</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rPr>
              <w:t>A豆亚涛、</w:t>
            </w:r>
            <w:r>
              <w:rPr>
                <w:rFonts w:hint="eastAsia" w:ascii="宋体" w:hAnsi="宋体" w:cs="宋体"/>
                <w:sz w:val="21"/>
                <w:szCs w:val="21"/>
                <w:lang w:val="en-US" w:eastAsia="zh-CN"/>
              </w:rPr>
              <w:t xml:space="preserve">   </w:t>
            </w:r>
            <w:r>
              <w:rPr>
                <w:rFonts w:hint="eastAsia" w:ascii="宋体" w:hAnsi="宋体" w:eastAsia="宋体" w:cs="宋体"/>
                <w:sz w:val="21"/>
                <w:szCs w:val="21"/>
              </w:rPr>
              <w:t>B张金凤</w:t>
            </w:r>
          </w:p>
          <w:p>
            <w:pPr>
              <w:numPr>
                <w:ilvl w:val="0"/>
                <w:numId w:val="4"/>
              </w:numPr>
              <w:spacing w:line="360" w:lineRule="auto"/>
              <w:rPr>
                <w:rFonts w:hint="eastAsia" w:ascii="宋体" w:hAnsi="宋体" w:eastAsia="宋体" w:cs="宋体"/>
                <w:sz w:val="21"/>
                <w:szCs w:val="21"/>
              </w:rPr>
            </w:pPr>
            <w:r>
              <w:rPr>
                <w:rFonts w:hint="eastAsia" w:ascii="宋体" w:hAnsi="宋体" w:eastAsia="宋体" w:cs="宋体"/>
                <w:sz w:val="21"/>
                <w:szCs w:val="21"/>
              </w:rPr>
              <w:t>审核范围：公司领导层、各部门。查全条款覆盖。</w:t>
            </w:r>
          </w:p>
          <w:p>
            <w:pPr>
              <w:spacing w:line="360" w:lineRule="auto"/>
              <w:rPr>
                <w:rFonts w:hint="eastAsia" w:ascii="宋体" w:hAnsi="宋体" w:eastAsia="宋体" w:cs="宋体"/>
                <w:sz w:val="21"/>
                <w:szCs w:val="21"/>
              </w:rPr>
            </w:pPr>
            <w:r>
              <w:rPr>
                <w:rFonts w:hint="eastAsia" w:ascii="宋体" w:hAnsi="宋体" w:eastAsia="宋体" w:cs="宋体"/>
                <w:sz w:val="21"/>
                <w:szCs w:val="21"/>
              </w:rPr>
              <w:t>3.审核准则：ISO9001:2015《质量管理体系—要求》、ISO14001：2015《环境管理体系—要求及使用指南》、ISO45001:2018《职业健康安全管理体系—要求》、公司管理体系文件、适用的法律法规、产品标准等。</w:t>
            </w:r>
          </w:p>
          <w:p>
            <w:pPr>
              <w:spacing w:line="360" w:lineRule="auto"/>
              <w:rPr>
                <w:rFonts w:hint="eastAsia" w:ascii="宋体" w:hAnsi="宋体" w:eastAsia="宋体" w:cs="宋体"/>
                <w:sz w:val="21"/>
                <w:szCs w:val="21"/>
              </w:rPr>
            </w:pPr>
            <w:r>
              <w:rPr>
                <w:rFonts w:hint="eastAsia" w:ascii="宋体" w:hAnsi="宋体" w:eastAsia="宋体" w:cs="宋体"/>
                <w:sz w:val="21"/>
                <w:szCs w:val="21"/>
              </w:rPr>
              <w:t>4.提供了《内审首次会议签到表》，参加人有各部门负责人等。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5.提供了《内审检查表》，经查阅对照，受审核部门涉及条款与公司管理体系职责分配相一致。</w:t>
            </w:r>
          </w:p>
          <w:p>
            <w:pPr>
              <w:pStyle w:val="2"/>
              <w:spacing w:line="360" w:lineRule="auto"/>
              <w:jc w:val="left"/>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抽：业务部Q:5.3、6.2、6.1、7.1.5、8.1、8.2、8.4、8.5、8.6、8.7、9.1.1、9.1.2、10.2</w:t>
            </w:r>
          </w:p>
          <w:p>
            <w:pPr>
              <w:pStyle w:val="2"/>
              <w:spacing w:line="360" w:lineRule="auto"/>
              <w:ind w:firstLine="1050" w:firstLineChars="500"/>
              <w:jc w:val="left"/>
              <w:rPr>
                <w:rFonts w:hint="eastAsia" w:ascii="宋体" w:hAnsi="宋体" w:eastAsia="宋体" w:cs="宋体"/>
                <w:bCs w:val="0"/>
                <w:spacing w:val="0"/>
                <w:sz w:val="21"/>
                <w:szCs w:val="21"/>
              </w:rPr>
            </w:pPr>
            <w:r>
              <w:rPr>
                <w:rFonts w:hint="eastAsia" w:ascii="宋体" w:hAnsi="宋体" w:eastAsia="宋体" w:cs="宋体"/>
                <w:bCs w:val="0"/>
                <w:spacing w:val="0"/>
                <w:sz w:val="21"/>
                <w:szCs w:val="21"/>
              </w:rPr>
              <w:t>ES5.3、6.2、6.1.2、8.1、8.2审核记录基本满足要求，8.6审核深度需加强。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6.提供了《内审不合格报告》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开出项1个一般不符合报告,涉及业务部，不符合项报告内容：办公现场有一灭火器被遮挡，不符合标准要求。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不符合ISO14001-2015标准中8.1 条款规定</w:t>
            </w:r>
            <w:r>
              <w:rPr>
                <w:rFonts w:hint="eastAsia" w:ascii="宋体" w:hAnsi="宋体" w:cs="宋体"/>
                <w:sz w:val="21"/>
                <w:szCs w:val="21"/>
                <w:lang w:eastAsia="zh-CN"/>
              </w:rPr>
              <w:t>；</w:t>
            </w:r>
            <w:r>
              <w:rPr>
                <w:rFonts w:hint="eastAsia" w:ascii="宋体" w:hAnsi="宋体" w:eastAsia="宋体" w:cs="宋体"/>
                <w:sz w:val="21"/>
                <w:szCs w:val="21"/>
              </w:rPr>
              <w:t>不符合ISO45001:2018标准中 8.1 条款规定。</w:t>
            </w:r>
          </w:p>
          <w:p>
            <w:pPr>
              <w:pStyle w:val="2"/>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对于涉及不符合项的部门，进行了原因分析并制定纠正措施计划，经过审核组验证，纠正措施有效。</w:t>
            </w:r>
          </w:p>
          <w:p>
            <w:pPr>
              <w:spacing w:line="360" w:lineRule="auto"/>
              <w:rPr>
                <w:rFonts w:hint="eastAsia" w:ascii="宋体" w:hAnsi="宋体" w:eastAsia="宋体" w:cs="宋体"/>
                <w:sz w:val="21"/>
                <w:szCs w:val="21"/>
              </w:rPr>
            </w:pPr>
            <w:r>
              <w:rPr>
                <w:rFonts w:hint="eastAsia" w:ascii="宋体" w:hAnsi="宋体" w:eastAsia="宋体" w:cs="宋体"/>
                <w:sz w:val="21"/>
                <w:szCs w:val="21"/>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环境和职业健康安全管理体系标准条款学习，进行不符合项整改，要求在5日内整改完毕，由综合部组织相关内审员对整改后的情况进行跟踪验证，确认纠正及纠正措施有效，体系的建立、运行符合质量管理体系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审核结论：基本符合计划安排和标准的要求，并得到了较有效实施和保持， 仍需进一步改进。    </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审核组长：豆亚涛  批准：豆胜怀 时间：2019.12.28</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提供了内审员培训记录，审核员没有审核自己部门工作，具有独立性。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4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分析与评价</w:t>
            </w:r>
          </w:p>
        </w:tc>
        <w:tc>
          <w:tcPr>
            <w:tcW w:w="137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ES9.1.3</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公司通过以下方面确定、收集和分析适当的数据，以证实管理体系的适宜性和测试性。查有以下信息进行数据分析:</w:t>
            </w:r>
          </w:p>
          <w:p>
            <w:pPr>
              <w:spacing w:line="360" w:lineRule="auto"/>
              <w:rPr>
                <w:rFonts w:hint="eastAsia" w:ascii="宋体" w:hAnsi="宋体" w:eastAsia="宋体" w:cs="宋体"/>
                <w:sz w:val="21"/>
                <w:szCs w:val="21"/>
              </w:rPr>
            </w:pPr>
            <w:r>
              <w:rPr>
                <w:rFonts w:hint="eastAsia" w:ascii="宋体" w:hAnsi="宋体" w:eastAsia="宋体" w:cs="宋体"/>
                <w:sz w:val="21"/>
                <w:szCs w:val="21"/>
              </w:rPr>
              <w:t>1)对顾客满意率采用权重法统计分析，顾客满意率96%达标。</w:t>
            </w:r>
          </w:p>
          <w:p>
            <w:pPr>
              <w:spacing w:line="360" w:lineRule="auto"/>
              <w:rPr>
                <w:rFonts w:hint="eastAsia" w:ascii="宋体" w:hAnsi="宋体" w:eastAsia="宋体" w:cs="宋体"/>
                <w:sz w:val="21"/>
                <w:szCs w:val="21"/>
              </w:rPr>
            </w:pPr>
            <w:r>
              <w:rPr>
                <w:rFonts w:hint="eastAsia" w:ascii="宋体" w:hAnsi="宋体" w:eastAsia="宋体" w:cs="宋体"/>
                <w:sz w:val="21"/>
                <w:szCs w:val="21"/>
              </w:rPr>
              <w:t>2)对施工质量进行了统计分析，达目标值要求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3)对进货物资合格率进行了统计分析，达标</w:t>
            </w:r>
          </w:p>
          <w:p>
            <w:pPr>
              <w:spacing w:line="360" w:lineRule="auto"/>
              <w:rPr>
                <w:rFonts w:hint="eastAsia" w:ascii="宋体" w:hAnsi="宋体" w:eastAsia="宋体" w:cs="宋体"/>
                <w:sz w:val="21"/>
                <w:szCs w:val="21"/>
              </w:rPr>
            </w:pPr>
            <w:r>
              <w:rPr>
                <w:rFonts w:hint="eastAsia" w:ascii="宋体" w:hAnsi="宋体" w:eastAsia="宋体" w:cs="宋体"/>
                <w:sz w:val="21"/>
                <w:szCs w:val="21"/>
              </w:rPr>
              <w:t>4)对各部门的目标进行统计，见各部门6.2记录。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分析与评价：公司总体质量水平较高，客户对施工质量普遍有好评，企业发展具有一定空间。</w:t>
            </w:r>
          </w:p>
          <w:p>
            <w:pPr>
              <w:pStyle w:val="2"/>
              <w:spacing w:line="360" w:lineRule="auto"/>
              <w:ind w:firstLine="420" w:firstLineChars="200"/>
              <w:rPr>
                <w:rFonts w:hint="eastAsia" w:ascii="宋体" w:hAnsi="宋体" w:cs="宋体"/>
                <w:bCs w:val="0"/>
                <w:spacing w:val="0"/>
                <w:sz w:val="21"/>
                <w:szCs w:val="21"/>
                <w:lang w:eastAsia="zh-CN"/>
              </w:rPr>
            </w:pPr>
            <w:r>
              <w:rPr>
                <w:rFonts w:hint="eastAsia" w:ascii="宋体" w:hAnsi="宋体" w:eastAsia="宋体" w:cs="宋体"/>
                <w:bCs w:val="0"/>
                <w:spacing w:val="0"/>
                <w:sz w:val="21"/>
                <w:szCs w:val="21"/>
              </w:rPr>
              <w:t>抽《顾客满意度调查分析》</w:t>
            </w:r>
            <w:r>
              <w:rPr>
                <w:rFonts w:hint="eastAsia" w:ascii="宋体" w:hAnsi="宋体" w:cs="宋体"/>
                <w:bCs w:val="0"/>
                <w:spacing w:val="0"/>
                <w:sz w:val="21"/>
                <w:szCs w:val="21"/>
                <w:lang w:eastAsia="zh-CN"/>
              </w:rPr>
              <w:t>，</w:t>
            </w:r>
          </w:p>
          <w:p>
            <w:pPr>
              <w:pStyle w:val="2"/>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调查时期：2019年10月至2020年3月发放调查表共 4份，回收调查表共4 份。</w:t>
            </w:r>
          </w:p>
          <w:p>
            <w:pPr>
              <w:pStyle w:val="2"/>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出现“一般满意”和“不满意”选项的调查表  0   份。</w:t>
            </w:r>
          </w:p>
          <w:p>
            <w:pPr>
              <w:pStyle w:val="2"/>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涉及的主要问题是：对工程交付期限有些不满意，未提出改进措施，口头交流。</w:t>
            </w:r>
          </w:p>
          <w:p>
            <w:pPr>
              <w:pStyle w:val="2"/>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调查分析：</w:t>
            </w:r>
          </w:p>
          <w:p>
            <w:pPr>
              <w:pStyle w:val="2"/>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产品质量：很满意一共为：4份，满意为0份</w:t>
            </w:r>
          </w:p>
          <w:p>
            <w:pPr>
              <w:pStyle w:val="2"/>
              <w:spacing w:line="360" w:lineRule="auto"/>
              <w:ind w:firstLine="210" w:firstLineChars="1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服务态度：很满意一共为：4份，满意为0份</w:t>
            </w:r>
          </w:p>
          <w:p>
            <w:pPr>
              <w:pStyle w:val="2"/>
              <w:spacing w:line="360" w:lineRule="auto"/>
              <w:ind w:firstLine="210" w:firstLineChars="1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价格：很满意一共为：3份，满意为 1份</w:t>
            </w:r>
          </w:p>
          <w:p>
            <w:pPr>
              <w:pStyle w:val="2"/>
              <w:spacing w:line="360" w:lineRule="auto"/>
              <w:ind w:firstLine="210" w:firstLineChars="1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交付期：很满意一共为：3份，满意为 1份</w:t>
            </w:r>
          </w:p>
          <w:p>
            <w:pPr>
              <w:pStyle w:val="2"/>
              <w:spacing w:line="360" w:lineRule="auto"/>
              <w:ind w:firstLine="210" w:firstLineChars="1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分值：顾客满意度</w:t>
            </w:r>
            <w:r>
              <w:rPr>
                <w:rFonts w:hint="eastAsia" w:ascii="宋体" w:hAnsi="宋体" w:eastAsia="宋体" w:cs="宋体"/>
                <w:bCs w:val="0"/>
                <w:spacing w:val="0"/>
                <w:sz w:val="21"/>
                <w:szCs w:val="21"/>
              </w:rPr>
              <w:tab/>
            </w:r>
            <w:r>
              <w:rPr>
                <w:rFonts w:hint="eastAsia" w:ascii="宋体" w:hAnsi="宋体" w:eastAsia="宋体" w:cs="宋体"/>
                <w:bCs w:val="0"/>
                <w:spacing w:val="0"/>
                <w:sz w:val="21"/>
                <w:szCs w:val="21"/>
              </w:rPr>
              <w:t>很满意（A）</w:t>
            </w:r>
            <w:r>
              <w:rPr>
                <w:rFonts w:hint="eastAsia" w:ascii="宋体" w:hAnsi="宋体" w:eastAsia="宋体" w:cs="宋体"/>
                <w:bCs w:val="0"/>
                <w:spacing w:val="0"/>
                <w:sz w:val="21"/>
                <w:szCs w:val="21"/>
              </w:rPr>
              <w:tab/>
            </w:r>
            <w:r>
              <w:rPr>
                <w:rFonts w:hint="eastAsia" w:ascii="宋体" w:hAnsi="宋体" w:eastAsia="宋体" w:cs="宋体"/>
                <w:bCs w:val="0"/>
                <w:spacing w:val="0"/>
                <w:sz w:val="21"/>
                <w:szCs w:val="21"/>
              </w:rPr>
              <w:t>满  意（B）</w:t>
            </w:r>
            <w:r>
              <w:rPr>
                <w:rFonts w:hint="eastAsia" w:ascii="宋体" w:hAnsi="宋体" w:eastAsia="宋体" w:cs="宋体"/>
                <w:bCs w:val="0"/>
                <w:spacing w:val="0"/>
                <w:sz w:val="21"/>
                <w:szCs w:val="21"/>
              </w:rPr>
              <w:tab/>
            </w:r>
            <w:r>
              <w:rPr>
                <w:rFonts w:hint="eastAsia" w:ascii="宋体" w:hAnsi="宋体" w:eastAsia="宋体" w:cs="宋体"/>
                <w:bCs w:val="0"/>
                <w:spacing w:val="0"/>
                <w:sz w:val="21"/>
                <w:szCs w:val="21"/>
              </w:rPr>
              <w:t>不满意（C）</w:t>
            </w:r>
            <w:r>
              <w:rPr>
                <w:rFonts w:hint="eastAsia" w:ascii="宋体" w:hAnsi="宋体" w:eastAsia="宋体" w:cs="宋体"/>
                <w:bCs w:val="0"/>
                <w:spacing w:val="0"/>
                <w:sz w:val="21"/>
                <w:szCs w:val="21"/>
              </w:rPr>
              <w:tab/>
            </w:r>
            <w:r>
              <w:rPr>
                <w:rFonts w:hint="eastAsia" w:ascii="宋体" w:hAnsi="宋体" w:eastAsia="宋体" w:cs="宋体"/>
                <w:bCs w:val="0"/>
                <w:spacing w:val="0"/>
                <w:sz w:val="21"/>
                <w:szCs w:val="21"/>
              </w:rPr>
              <w:t>很不满意（D）</w:t>
            </w:r>
          </w:p>
          <w:p>
            <w:pPr>
              <w:pStyle w:val="2"/>
              <w:spacing w:line="360" w:lineRule="auto"/>
              <w:ind w:firstLine="210" w:firstLineChars="1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权 数</w:t>
            </w:r>
            <w:r>
              <w:rPr>
                <w:rFonts w:hint="eastAsia" w:ascii="宋体" w:hAnsi="宋体" w:eastAsia="宋体" w:cs="宋体"/>
                <w:bCs w:val="0"/>
                <w:spacing w:val="0"/>
                <w:sz w:val="21"/>
                <w:szCs w:val="21"/>
              </w:rPr>
              <w:tab/>
            </w:r>
            <w:r>
              <w:rPr>
                <w:rFonts w:hint="eastAsia" w:ascii="宋体" w:hAnsi="宋体" w:cs="宋体"/>
                <w:bCs w:val="0"/>
                <w:spacing w:val="0"/>
                <w:sz w:val="21"/>
                <w:szCs w:val="21"/>
                <w:lang w:val="en-US" w:eastAsia="zh-CN"/>
              </w:rPr>
              <w:t xml:space="preserve">               </w:t>
            </w:r>
            <w:r>
              <w:rPr>
                <w:rFonts w:hint="eastAsia" w:ascii="宋体" w:hAnsi="宋体" w:eastAsia="宋体" w:cs="宋体"/>
                <w:bCs w:val="0"/>
                <w:spacing w:val="0"/>
                <w:sz w:val="21"/>
                <w:szCs w:val="21"/>
              </w:rPr>
              <w:t>1.0</w:t>
            </w:r>
            <w:r>
              <w:rPr>
                <w:rFonts w:hint="eastAsia" w:ascii="宋体" w:hAnsi="宋体" w:eastAsia="宋体" w:cs="宋体"/>
                <w:bCs w:val="0"/>
                <w:spacing w:val="0"/>
                <w:sz w:val="21"/>
                <w:szCs w:val="21"/>
              </w:rPr>
              <w:tab/>
            </w:r>
            <w:r>
              <w:rPr>
                <w:rFonts w:hint="eastAsia" w:ascii="宋体" w:hAnsi="宋体" w:cs="宋体"/>
                <w:bCs w:val="0"/>
                <w:spacing w:val="0"/>
                <w:sz w:val="21"/>
                <w:szCs w:val="21"/>
                <w:lang w:val="en-US" w:eastAsia="zh-CN"/>
              </w:rPr>
              <w:t xml:space="preserve">      </w:t>
            </w:r>
            <w:r>
              <w:rPr>
                <w:rFonts w:hint="eastAsia" w:ascii="宋体" w:hAnsi="宋体" w:eastAsia="宋体" w:cs="宋体"/>
                <w:bCs w:val="0"/>
                <w:spacing w:val="0"/>
                <w:sz w:val="21"/>
                <w:szCs w:val="21"/>
              </w:rPr>
              <w:t>0.7</w:t>
            </w:r>
            <w:r>
              <w:rPr>
                <w:rFonts w:hint="eastAsia" w:ascii="宋体" w:hAnsi="宋体" w:cs="宋体"/>
                <w:bCs w:val="0"/>
                <w:spacing w:val="0"/>
                <w:sz w:val="21"/>
                <w:szCs w:val="21"/>
                <w:lang w:val="en-US" w:eastAsia="zh-CN"/>
              </w:rPr>
              <w:t xml:space="preserve">   </w:t>
            </w:r>
            <w:r>
              <w:rPr>
                <w:rFonts w:hint="eastAsia" w:ascii="宋体" w:hAnsi="宋体" w:eastAsia="宋体" w:cs="宋体"/>
                <w:bCs w:val="0"/>
                <w:spacing w:val="0"/>
                <w:sz w:val="21"/>
                <w:szCs w:val="21"/>
              </w:rPr>
              <w:tab/>
            </w:r>
            <w:r>
              <w:rPr>
                <w:rFonts w:hint="eastAsia" w:ascii="宋体" w:hAnsi="宋体" w:cs="宋体"/>
                <w:bCs w:val="0"/>
                <w:spacing w:val="0"/>
                <w:sz w:val="21"/>
                <w:szCs w:val="21"/>
                <w:lang w:val="en-US" w:eastAsia="zh-CN"/>
              </w:rPr>
              <w:t xml:space="preserve"> </w:t>
            </w:r>
            <w:bookmarkStart w:id="0" w:name="_GoBack"/>
            <w:bookmarkEnd w:id="0"/>
            <w:r>
              <w:rPr>
                <w:rFonts w:hint="eastAsia" w:ascii="宋体" w:hAnsi="宋体" w:cs="宋体"/>
                <w:bCs w:val="0"/>
                <w:spacing w:val="0"/>
                <w:sz w:val="21"/>
                <w:szCs w:val="21"/>
                <w:lang w:val="en-US" w:eastAsia="zh-CN"/>
              </w:rPr>
              <w:t xml:space="preserve">  </w:t>
            </w:r>
            <w:r>
              <w:rPr>
                <w:rFonts w:hint="eastAsia" w:ascii="宋体" w:hAnsi="宋体" w:eastAsia="宋体" w:cs="宋体"/>
                <w:bCs w:val="0"/>
                <w:spacing w:val="0"/>
                <w:sz w:val="21"/>
                <w:szCs w:val="21"/>
              </w:rPr>
              <w:t>0.4</w:t>
            </w:r>
            <w:r>
              <w:rPr>
                <w:rFonts w:hint="eastAsia" w:ascii="宋体" w:hAnsi="宋体" w:cs="宋体"/>
                <w:bCs w:val="0"/>
                <w:spacing w:val="0"/>
                <w:sz w:val="21"/>
                <w:szCs w:val="21"/>
                <w:lang w:val="en-US" w:eastAsia="zh-CN"/>
              </w:rPr>
              <w:t xml:space="preserve">       </w:t>
            </w:r>
            <w:r>
              <w:rPr>
                <w:rFonts w:hint="eastAsia" w:ascii="宋体" w:hAnsi="宋体" w:eastAsia="宋体" w:cs="宋体"/>
                <w:bCs w:val="0"/>
                <w:spacing w:val="0"/>
                <w:sz w:val="21"/>
                <w:szCs w:val="21"/>
              </w:rPr>
              <w:tab/>
            </w:r>
            <w:r>
              <w:rPr>
                <w:rFonts w:hint="eastAsia" w:ascii="宋体" w:hAnsi="宋体" w:eastAsia="宋体" w:cs="宋体"/>
                <w:bCs w:val="0"/>
                <w:spacing w:val="0"/>
                <w:sz w:val="21"/>
                <w:szCs w:val="21"/>
              </w:rPr>
              <w:t>0</w:t>
            </w:r>
          </w:p>
          <w:p>
            <w:pPr>
              <w:pStyle w:val="2"/>
              <w:spacing w:line="360" w:lineRule="auto"/>
              <w:rPr>
                <w:rFonts w:hint="eastAsia" w:ascii="宋体" w:hAnsi="宋体" w:eastAsia="宋体" w:cs="宋体"/>
                <w:b/>
                <w:sz w:val="21"/>
                <w:szCs w:val="21"/>
              </w:rPr>
            </w:pPr>
            <w:r>
              <w:rPr>
                <w:rFonts w:hint="eastAsia" w:ascii="宋体" w:hAnsi="宋体" w:eastAsia="宋体" w:cs="宋体"/>
                <w:bCs w:val="0"/>
                <w:spacing w:val="0"/>
                <w:sz w:val="21"/>
                <w:szCs w:val="21"/>
              </w:rPr>
              <w:t>经计算顾客满意率为96%。</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747" w:type="dxa"/>
            <w:vAlign w:val="center"/>
          </w:tcPr>
          <w:p>
            <w:pPr>
              <w:spacing w:line="360" w:lineRule="auto"/>
              <w:rPr>
                <w:rFonts w:hint="eastAsia"/>
                <w:sz w:val="21"/>
                <w:szCs w:val="21"/>
              </w:rPr>
            </w:pPr>
            <w:r>
              <w:rPr>
                <w:rFonts w:hint="eastAsia"/>
                <w:sz w:val="21"/>
                <w:szCs w:val="21"/>
              </w:rPr>
              <w:t>不符合和纠正措施</w:t>
            </w:r>
          </w:p>
          <w:p>
            <w:pPr>
              <w:spacing w:line="360" w:lineRule="auto"/>
            </w:pPr>
            <w:r>
              <w:rPr>
                <w:rFonts w:hint="eastAsia"/>
                <w:sz w:val="21"/>
                <w:szCs w:val="21"/>
              </w:rPr>
              <w:t>事件调查、不符合、纠正措施和预防措施</w:t>
            </w:r>
          </w:p>
        </w:tc>
        <w:tc>
          <w:tcPr>
            <w:tcW w:w="1373" w:type="dxa"/>
            <w:vAlign w:val="center"/>
          </w:tcPr>
          <w:p>
            <w:pPr>
              <w:spacing w:line="360" w:lineRule="auto"/>
              <w:rPr>
                <w:rFonts w:hint="eastAsia"/>
                <w:sz w:val="21"/>
                <w:szCs w:val="21"/>
              </w:rPr>
            </w:pPr>
            <w:r>
              <w:rPr>
                <w:rFonts w:hint="eastAsia"/>
                <w:sz w:val="21"/>
                <w:szCs w:val="21"/>
              </w:rPr>
              <w:t>QE</w:t>
            </w:r>
            <w:r>
              <w:rPr>
                <w:sz w:val="21"/>
                <w:szCs w:val="21"/>
              </w:rPr>
              <w:t>S10.2</w:t>
            </w:r>
          </w:p>
          <w:p>
            <w:pPr>
              <w:spacing w:line="360" w:lineRule="auto"/>
              <w:rPr>
                <w:rFonts w:hint="eastAsia"/>
                <w:sz w:val="21"/>
                <w:szCs w:val="21"/>
              </w:rPr>
            </w:pPr>
            <w:r>
              <w:rPr>
                <w:sz w:val="21"/>
                <w:szCs w:val="21"/>
              </w:rPr>
              <w:t xml:space="preserve"> </w:t>
            </w:r>
          </w:p>
          <w:p>
            <w:pPr>
              <w:pStyle w:val="2"/>
              <w:spacing w:line="360" w:lineRule="auto"/>
            </w:pPr>
          </w:p>
        </w:tc>
        <w:tc>
          <w:tcPr>
            <w:tcW w:w="10004" w:type="dxa"/>
            <w:vAlign w:val="center"/>
          </w:tcPr>
          <w:p>
            <w:pPr>
              <w:spacing w:line="360" w:lineRule="auto"/>
              <w:ind w:firstLine="420" w:firstLineChars="200"/>
              <w:rPr>
                <w:rFonts w:hint="eastAsia"/>
                <w:sz w:val="21"/>
                <w:szCs w:val="21"/>
              </w:rPr>
            </w:pPr>
            <w:r>
              <w:rPr>
                <w:rFonts w:hint="eastAsia"/>
                <w:sz w:val="21"/>
                <w:szCs w:val="21"/>
              </w:rPr>
              <w:t>企业通过过程的监视和测量、绩效考核、内审、管理评审等方式和机制，确保质量管理制度有效执行。</w:t>
            </w:r>
          </w:p>
          <w:p>
            <w:pPr>
              <w:spacing w:line="360" w:lineRule="auto"/>
              <w:ind w:firstLine="420" w:firstLineChars="200"/>
              <w:rPr>
                <w:sz w:val="21"/>
                <w:szCs w:val="21"/>
              </w:rPr>
            </w:pPr>
            <w:r>
              <w:rPr>
                <w:rFonts w:hint="eastAsia"/>
                <w:sz w:val="21"/>
                <w:szCs w:val="21"/>
              </w:rPr>
              <w:t>企业经过策划，采用对产品的监视和测量，对不合格品控制等来证实产品的符合性。</w:t>
            </w:r>
          </w:p>
          <w:p>
            <w:pPr>
              <w:spacing w:line="360" w:lineRule="auto"/>
              <w:ind w:firstLine="420" w:firstLineChars="200"/>
              <w:rPr>
                <w:rFonts w:hint="eastAsia"/>
                <w:sz w:val="21"/>
                <w:szCs w:val="21"/>
              </w:rPr>
            </w:pPr>
            <w:r>
              <w:rPr>
                <w:rFonts w:hint="eastAsia"/>
                <w:sz w:val="21"/>
                <w:szCs w:val="21"/>
              </w:rPr>
              <w:t>企业制定《事故事件调查处理控制程序》、《不符合控制程序》、《纠正措施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hint="eastAsia"/>
                <w:sz w:val="21"/>
                <w:szCs w:val="21"/>
              </w:rPr>
            </w:pPr>
            <w:r>
              <w:rPr>
                <w:rFonts w:hint="eastAsia"/>
                <w:sz w:val="21"/>
                <w:szCs w:val="21"/>
              </w:rPr>
              <w:t xml:space="preserve">对内审中的不符合，采取了纠正措施，并验证； </w:t>
            </w:r>
          </w:p>
          <w:p>
            <w:pPr>
              <w:spacing w:line="360" w:lineRule="auto"/>
              <w:ind w:firstLine="420" w:firstLineChars="200"/>
              <w:rPr>
                <w:rFonts w:hint="eastAsia"/>
                <w:sz w:val="21"/>
                <w:szCs w:val="21"/>
              </w:rPr>
            </w:pPr>
            <w:r>
              <w:rPr>
                <w:rFonts w:hint="eastAsia"/>
                <w:sz w:val="21"/>
                <w:szCs w:val="21"/>
              </w:rPr>
              <w:t>为保证公司职业健康安全管理体系的有效运行，通过对安全事件的调查处理，以确保管理体系运行的有效性。</w:t>
            </w:r>
          </w:p>
          <w:p>
            <w:pPr>
              <w:spacing w:line="360" w:lineRule="auto"/>
              <w:ind w:firstLine="420" w:firstLineChars="200"/>
              <w:rPr>
                <w:sz w:val="21"/>
                <w:szCs w:val="21"/>
              </w:rPr>
            </w:pPr>
            <w:r>
              <w:rPr>
                <w:rFonts w:hint="eastAsia"/>
                <w:sz w:val="21"/>
                <w:szCs w:val="21"/>
              </w:rPr>
              <w:t>经查在公司正常经营活动中，出现了轻微不符合，部门已经采取纠正和纠正措施，经验证纠正措施有效。公司经营活动未发生过环境、安全等事故。</w:t>
            </w:r>
          </w:p>
          <w:p>
            <w:pPr>
              <w:pStyle w:val="2"/>
              <w:spacing w:line="360" w:lineRule="auto"/>
              <w:rPr>
                <w:rFonts w:hint="eastAsia"/>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spacing w:line="360" w:lineRule="auto"/>
              <w:ind w:firstLine="420" w:firstLineChars="200"/>
              <w:rPr>
                <w:rFonts w:hint="eastAsia"/>
                <w:bCs w:val="0"/>
                <w:spacing w:val="0"/>
                <w:sz w:val="21"/>
                <w:szCs w:val="21"/>
              </w:rPr>
            </w:pPr>
            <w:r>
              <w:rPr>
                <w:rFonts w:hint="eastAsia"/>
                <w:bCs w:val="0"/>
                <w:spacing w:val="0"/>
                <w:sz w:val="21"/>
                <w:szCs w:val="21"/>
              </w:rPr>
              <w:t>通过管理体系运行，管理方针、目标的实施，内审、管理评审进行持续改进；</w:t>
            </w:r>
          </w:p>
          <w:p>
            <w:pPr>
              <w:pStyle w:val="2"/>
              <w:spacing w:line="360" w:lineRule="auto"/>
              <w:ind w:firstLine="420" w:firstLineChars="200"/>
              <w:rPr>
                <w:rFonts w:hint="eastAsia"/>
                <w:bCs w:val="0"/>
                <w:spacing w:val="0"/>
                <w:sz w:val="21"/>
                <w:szCs w:val="21"/>
              </w:rPr>
            </w:pPr>
            <w:r>
              <w:rPr>
                <w:rFonts w:hint="eastAsia"/>
                <w:bCs w:val="0"/>
                <w:spacing w:val="0"/>
                <w:sz w:val="21"/>
                <w:szCs w:val="21"/>
              </w:rPr>
              <w:t>通过数据分析、纠正、预防措施实施达到持续改进；</w:t>
            </w:r>
          </w:p>
          <w:p>
            <w:pPr>
              <w:pStyle w:val="2"/>
              <w:spacing w:line="360" w:lineRule="auto"/>
              <w:ind w:firstLine="420" w:firstLineChars="200"/>
              <w:rPr>
                <w:rFonts w:hint="eastAsia"/>
                <w:bCs w:val="0"/>
                <w:spacing w:val="0"/>
                <w:sz w:val="21"/>
                <w:szCs w:val="21"/>
              </w:rPr>
            </w:pPr>
            <w:r>
              <w:rPr>
                <w:rFonts w:hint="eastAsia"/>
                <w:bCs w:val="0"/>
                <w:spacing w:val="0"/>
                <w:sz w:val="21"/>
                <w:szCs w:val="21"/>
              </w:rPr>
              <w:t>通过顾客满意度调查，改进、提高产品质量，满足顾客需求，达到持续改进的目的。</w:t>
            </w:r>
          </w:p>
          <w:p>
            <w:pPr>
              <w:pStyle w:val="2"/>
              <w:spacing w:line="360" w:lineRule="auto"/>
              <w:ind w:firstLine="420" w:firstLineChars="200"/>
            </w:pPr>
            <w:r>
              <w:rPr>
                <w:rFonts w:hint="eastAsia"/>
                <w:bCs w:val="0"/>
                <w:spacing w:val="0"/>
                <w:sz w:val="21"/>
                <w:szCs w:val="21"/>
              </w:rPr>
              <w:t>上次管理评审提出的改进建议已经有效整改，本次管理评审提出改进措施正在实施中，下次审核关注。</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F9C6DB"/>
    <w:multiLevelType w:val="singleLevel"/>
    <w:tmpl w:val="30F9C6DB"/>
    <w:lvl w:ilvl="0" w:tentative="0">
      <w:start w:val="1"/>
      <w:numFmt w:val="decimal"/>
      <w:suff w:val="nothing"/>
      <w:lvlText w:val="%1、"/>
      <w:lvlJc w:val="left"/>
    </w:lvl>
  </w:abstractNum>
  <w:abstractNum w:abstractNumId="2">
    <w:nsid w:val="7D62BD6A"/>
    <w:multiLevelType w:val="singleLevel"/>
    <w:tmpl w:val="7D62BD6A"/>
    <w:lvl w:ilvl="0" w:tentative="0">
      <w:start w:val="1"/>
      <w:numFmt w:val="decimal"/>
      <w:lvlText w:val="%1."/>
      <w:lvlJc w:val="left"/>
      <w:pPr>
        <w:tabs>
          <w:tab w:val="left" w:pos="312"/>
        </w:tabs>
      </w:pPr>
    </w:lvl>
  </w:abstractNum>
  <w:abstractNum w:abstractNumId="3">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77C8B"/>
    <w:rsid w:val="000D186F"/>
    <w:rsid w:val="00104D41"/>
    <w:rsid w:val="002C5142"/>
    <w:rsid w:val="0047624D"/>
    <w:rsid w:val="007878DC"/>
    <w:rsid w:val="007D418F"/>
    <w:rsid w:val="0081379D"/>
    <w:rsid w:val="009207FD"/>
    <w:rsid w:val="00B14970"/>
    <w:rsid w:val="00D21DA8"/>
    <w:rsid w:val="322F6080"/>
    <w:rsid w:val="471A73D3"/>
    <w:rsid w:val="51505D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sz w:val="24"/>
    </w:rPr>
  </w:style>
  <w:style w:type="paragraph" w:styleId="4">
    <w:name w:val="Plain Text"/>
    <w:basedOn w:val="1"/>
    <w:link w:val="15"/>
    <w:uiPriority w:val="0"/>
    <w:rPr>
      <w:rFonts w:ascii="宋体" w:hAnsi="Courier New"/>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uiPriority w:val="99"/>
    <w:rPr>
      <w:rFonts w:ascii="Times New Roman" w:hAnsi="Times New Roman" w:eastAsia="宋体" w:cs="Times New Roman"/>
      <w:sz w:val="18"/>
      <w:szCs w:val="18"/>
    </w:rPr>
  </w:style>
  <w:style w:type="character" w:customStyle="1" w:styleId="11">
    <w:name w:val="页脚 字符"/>
    <w:basedOn w:val="9"/>
    <w:link w:val="6"/>
    <w:uiPriority w:val="99"/>
    <w:rPr>
      <w:rFonts w:ascii="Times New Roman" w:hAnsi="Times New Roman" w:eastAsia="宋体" w:cs="Times New Roman"/>
      <w:sz w:val="18"/>
      <w:szCs w:val="18"/>
    </w:rPr>
  </w:style>
  <w:style w:type="character" w:customStyle="1" w:styleId="12">
    <w:name w:val="批注框文本 字符"/>
    <w:basedOn w:val="9"/>
    <w:link w:val="5"/>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character" w:customStyle="1" w:styleId="15">
    <w:name w:val="纯文本 字符"/>
    <w:basedOn w:val="9"/>
    <w:link w:val="4"/>
    <w:qFormat/>
    <w:uiPriority w:val="0"/>
    <w:rPr>
      <w:rFonts w:ascii="宋体" w:hAnsi="Courier New" w:eastAsia="宋体" w:cs="Times New Roman"/>
      <w:kern w:val="2"/>
      <w:sz w:val="24"/>
    </w:rPr>
  </w:style>
  <w:style w:type="character" w:customStyle="1" w:styleId="16">
    <w:name w:val="标题 2 字符"/>
    <w:basedOn w:val="9"/>
    <w:link w:val="3"/>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1369</Words>
  <Characters>7808</Characters>
  <Lines>65</Lines>
  <Paragraphs>18</Paragraphs>
  <TotalTime>0</TotalTime>
  <ScaleCrop>false</ScaleCrop>
  <LinksUpToDate>false</LinksUpToDate>
  <CharactersWithSpaces>9159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2020-05-25T07:54:21Z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