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10"/>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color w:val="000000" w:themeColor="text1"/>
                <w:sz w:val="21"/>
                <w:szCs w:val="21"/>
                <w:lang w:val="en-US" w:eastAsia="zh-CN"/>
              </w:rPr>
            </w:pPr>
            <w:r>
              <w:rPr>
                <w:rFonts w:hint="eastAsia" w:ascii="楷体" w:hAnsi="楷体" w:eastAsia="楷体"/>
                <w:color w:val="000000" w:themeColor="text1"/>
                <w:sz w:val="21"/>
                <w:szCs w:val="21"/>
              </w:rPr>
              <w:t>受审</w:t>
            </w:r>
            <w:r>
              <w:rPr>
                <w:rFonts w:hint="eastAsia" w:ascii="宋体" w:hAnsi="宋体" w:eastAsia="宋体" w:cs="宋体"/>
                <w:color w:val="000000" w:themeColor="text1"/>
                <w:sz w:val="21"/>
                <w:szCs w:val="21"/>
              </w:rPr>
              <w:t>核部门：管理层  总经理：</w:t>
            </w:r>
            <w:r>
              <w:rPr>
                <w:rFonts w:hint="eastAsia" w:ascii="宋体" w:hAnsi="宋体" w:eastAsia="宋体" w:cs="宋体"/>
                <w:sz w:val="21"/>
              </w:rPr>
              <w:t>豆胜怀</w:t>
            </w:r>
            <w:r>
              <w:rPr>
                <w:rFonts w:hint="eastAsia" w:ascii="宋体" w:hAnsi="宋体" w:eastAsia="宋体" w:cs="宋体"/>
                <w:sz w:val="21"/>
                <w:lang w:val="en-US" w:eastAsia="zh-CN"/>
              </w:rPr>
              <w:t xml:space="preserve">  </w:t>
            </w:r>
            <w:r>
              <w:rPr>
                <w:rFonts w:hint="eastAsia" w:ascii="宋体" w:hAnsi="宋体" w:eastAsia="宋体" w:cs="宋体"/>
                <w:color w:val="000000" w:themeColor="text1"/>
                <w:sz w:val="21"/>
                <w:szCs w:val="21"/>
              </w:rPr>
              <w:t>管理者代表：</w:t>
            </w:r>
            <w:r>
              <w:rPr>
                <w:rFonts w:hint="eastAsia" w:ascii="宋体" w:hAnsi="宋体" w:eastAsia="宋体" w:cs="宋体"/>
                <w:sz w:val="21"/>
              </w:rPr>
              <w:t xml:space="preserve">豆亚涛 </w:t>
            </w:r>
            <w:r>
              <w:rPr>
                <w:rFonts w:hint="eastAsia" w:ascii="宋体" w:hAnsi="宋体" w:eastAsia="宋体" w:cs="宋体"/>
                <w:color w:val="000000" w:themeColor="text1"/>
                <w:sz w:val="21"/>
                <w:szCs w:val="21"/>
                <w:lang w:val="en-US" w:eastAsia="zh-CN"/>
              </w:rPr>
              <w:t xml:space="preserve"> </w:t>
            </w:r>
            <w:r>
              <w:rPr>
                <w:rFonts w:hint="eastAsia" w:ascii="宋体" w:hAnsi="宋体" w:eastAsia="宋体" w:cs="宋体"/>
                <w:lang w:eastAsia="zh-CN"/>
              </w:rPr>
              <w:t>职业健康安全管理体系的员工代表：赵越鑫</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color w:val="000000" w:themeColor="text1"/>
                <w:sz w:val="21"/>
                <w:szCs w:val="21"/>
                <w:lang w:val="en-US" w:eastAsia="zh-CN"/>
              </w:rPr>
            </w:pPr>
            <w:r>
              <w:rPr>
                <w:rFonts w:hint="eastAsia" w:ascii="楷体" w:hAnsi="楷体" w:eastAsia="楷体"/>
                <w:color w:val="000000" w:themeColor="text1"/>
                <w:sz w:val="21"/>
                <w:szCs w:val="21"/>
              </w:rPr>
              <w:t>审核员：</w:t>
            </w:r>
            <w:r>
              <w:rPr>
                <w:rFonts w:hint="eastAsia" w:ascii="楷体" w:hAnsi="楷体" w:eastAsia="楷体"/>
                <w:color w:val="000000" w:themeColor="text1"/>
                <w:sz w:val="21"/>
                <w:szCs w:val="21"/>
                <w:lang w:val="en-US" w:eastAsia="zh-CN"/>
              </w:rPr>
              <w:t>李俐</w:t>
            </w:r>
            <w:r>
              <w:rPr>
                <w:rFonts w:ascii="楷体" w:hAnsi="楷体" w:eastAsia="楷体"/>
                <w:color w:val="000000" w:themeColor="text1"/>
                <w:sz w:val="21"/>
                <w:szCs w:val="21"/>
              </w:rPr>
              <w:t xml:space="preserve">    </w:t>
            </w:r>
            <w:r>
              <w:rPr>
                <w:rFonts w:hint="eastAsia" w:ascii="楷体" w:hAnsi="楷体" w:eastAsia="楷体"/>
                <w:color w:val="000000" w:themeColor="text1"/>
                <w:sz w:val="21"/>
                <w:szCs w:val="21"/>
              </w:rPr>
              <w:t>审核时间：</w:t>
            </w:r>
            <w:r>
              <w:rPr>
                <w:rFonts w:hint="eastAsia"/>
                <w:sz w:val="21"/>
              </w:rPr>
              <w:t>20</w:t>
            </w:r>
            <w:r>
              <w:rPr>
                <w:sz w:val="21"/>
              </w:rPr>
              <w:t>20</w:t>
            </w:r>
            <w:r>
              <w:rPr>
                <w:rFonts w:hint="eastAsia"/>
                <w:sz w:val="21"/>
              </w:rPr>
              <w:t>.</w:t>
            </w:r>
            <w:r>
              <w:rPr>
                <w:sz w:val="21"/>
              </w:rPr>
              <w:t>5</w:t>
            </w:r>
            <w:r>
              <w:rPr>
                <w:rFonts w:hint="eastAsia"/>
                <w:sz w:val="21"/>
              </w:rPr>
              <w:t>.</w:t>
            </w:r>
            <w:r>
              <w:rPr>
                <w:sz w:val="21"/>
              </w:rPr>
              <w:t>7</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8"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line="360" w:lineRule="auto"/>
              <w:rPr>
                <w:rFonts w:hint="eastAsia"/>
              </w:rPr>
            </w:pPr>
            <w:r>
              <w:rPr>
                <w:rFonts w:hint="eastAsia"/>
              </w:rPr>
              <w:t>审核条款：</w:t>
            </w:r>
          </w:p>
          <w:p>
            <w:pPr>
              <w:pStyle w:val="19"/>
              <w:spacing w:line="360" w:lineRule="auto"/>
              <w:ind w:firstLine="0" w:firstLineChars="0"/>
              <w:rPr>
                <w:rFonts w:hint="eastAsia" w:ascii="宋体" w:hAnsi="宋体"/>
                <w:b w:val="0"/>
                <w:bCs w:val="0"/>
                <w:sz w:val="21"/>
                <w:szCs w:val="21"/>
              </w:rPr>
            </w:pPr>
            <w:r>
              <w:rPr>
                <w:rFonts w:hint="eastAsia" w:ascii="宋体" w:hAnsi="宋体"/>
                <w:b w:val="0"/>
                <w:bCs w:val="0"/>
                <w:sz w:val="21"/>
                <w:szCs w:val="21"/>
              </w:rPr>
              <w:t>QEO:4.1理解组织及其环境、4.2理解相关方的需求和期望、4.3 确定管理体系的范围、4.4质量/环境/职业健康安全管理体系及其过程、5.1领导作用和承诺、5.2质量/环境/职业健康安全方针、5.3组织的岗位、职责和权限、</w:t>
            </w:r>
            <w:r>
              <w:rPr>
                <w:rFonts w:hint="eastAsia" w:ascii="宋体" w:hAnsi="宋体" w:eastAsia="宋体" w:cs="Times New Roman"/>
                <w:sz w:val="21"/>
                <w:szCs w:val="21"/>
                <w:lang w:val="en-US" w:eastAsia="zh-CN"/>
              </w:rPr>
              <w:t>OMS：</w:t>
            </w:r>
            <w:r>
              <w:rPr>
                <w:rFonts w:hint="eastAsia" w:ascii="宋体" w:hAnsi="宋体"/>
                <w:b w:val="0"/>
                <w:bCs w:val="0"/>
                <w:sz w:val="21"/>
                <w:szCs w:val="21"/>
              </w:rPr>
              <w:t>5.4协商与参与、6.1应对风险和机遇的措施、6.2质量/环境/职业健康安全目标及其实现的策划、Q</w:t>
            </w:r>
            <w:r>
              <w:rPr>
                <w:rFonts w:hint="eastAsia" w:ascii="宋体" w:hAnsi="宋体"/>
                <w:b w:val="0"/>
                <w:bCs w:val="0"/>
                <w:sz w:val="21"/>
                <w:szCs w:val="21"/>
                <w:lang w:eastAsia="zh-CN"/>
              </w:rPr>
              <w:t>：</w:t>
            </w:r>
            <w:r>
              <w:rPr>
                <w:rFonts w:hint="eastAsia" w:ascii="宋体" w:hAnsi="宋体"/>
                <w:b w:val="0"/>
                <w:bCs w:val="0"/>
                <w:sz w:val="21"/>
                <w:szCs w:val="21"/>
              </w:rPr>
              <w:t>6.3变更的策划、7.1.1（EO7.1）资源总则、7.4沟通/信息交流、9.3管理评审、10.1改进、10.3持续改进，</w:t>
            </w:r>
          </w:p>
          <w:p>
            <w:pPr>
              <w:pStyle w:val="19"/>
              <w:spacing w:line="240" w:lineRule="auto"/>
              <w:ind w:firstLine="0" w:firstLineChars="0"/>
              <w:rPr>
                <w:rFonts w:hint="eastAsia" w:ascii="宋体" w:hAnsi="宋体"/>
                <w:b w:val="0"/>
                <w:bCs w:val="0"/>
                <w:sz w:val="21"/>
                <w:szCs w:val="21"/>
              </w:rPr>
            </w:pPr>
            <w:r>
              <w:rPr>
                <w:rFonts w:hint="eastAsia" w:ascii="宋体" w:hAnsi="宋体"/>
                <w:b w:val="0"/>
                <w:bCs w:val="0"/>
                <w:sz w:val="21"/>
                <w:szCs w:val="21"/>
              </w:rPr>
              <w:t>国家/地方监督抽查情况；顾客满意、相关方投诉及处理情况；一阶段问题验证，</w:t>
            </w:r>
          </w:p>
          <w:p>
            <w:pPr>
              <w:pStyle w:val="4"/>
              <w:ind w:left="0" w:leftChars="0" w:firstLine="0" w:firstLineChars="0"/>
              <w:rPr>
                <w:rFonts w:hint="eastAsia"/>
              </w:rPr>
            </w:pPr>
            <w:r>
              <w:rPr>
                <w:rFonts w:hint="eastAsia" w:ascii="宋体" w:hAnsi="宋体"/>
                <w:b w:val="0"/>
                <w:bCs w:val="0"/>
                <w:sz w:val="21"/>
                <w:szCs w:val="21"/>
              </w:rPr>
              <w:t>验证企业相关资质证明的有效性；</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809" w:type="dxa"/>
            <w:vAlign w:val="center"/>
          </w:tcPr>
          <w:p>
            <w:pPr>
              <w:spacing w:line="360" w:lineRule="auto"/>
              <w:rPr>
                <w:rFonts w:hint="eastAsia"/>
              </w:rPr>
            </w:pPr>
            <w:r>
              <w:rPr>
                <w:rFonts w:hint="eastAsia"/>
              </w:rPr>
              <w:t>企业基本信息</w:t>
            </w:r>
          </w:p>
          <w:p>
            <w:pPr>
              <w:pStyle w:val="2"/>
              <w:rPr>
                <w:rFonts w:hint="eastAsia"/>
              </w:rPr>
            </w:pPr>
          </w:p>
          <w:p>
            <w:pPr>
              <w:pStyle w:val="4"/>
              <w:rPr>
                <w:rFonts w:hint="eastAsia" w:ascii="楷体" w:hAnsi="楷体" w:eastAsia="楷体"/>
                <w:sz w:val="24"/>
                <w:szCs w:val="24"/>
              </w:rPr>
            </w:pPr>
          </w:p>
          <w:p>
            <w:pPr>
              <w:pStyle w:val="4"/>
              <w:rPr>
                <w:rFonts w:hint="eastAsia" w:ascii="楷体" w:hAnsi="楷体" w:eastAsia="楷体"/>
                <w:sz w:val="24"/>
                <w:szCs w:val="24"/>
              </w:rPr>
            </w:pPr>
          </w:p>
          <w:p>
            <w:pPr>
              <w:pStyle w:val="4"/>
              <w:rPr>
                <w:rFonts w:hint="eastAsia" w:ascii="楷体" w:hAnsi="楷体" w:eastAsia="楷体"/>
                <w:sz w:val="24"/>
                <w:szCs w:val="24"/>
              </w:rPr>
            </w:pPr>
          </w:p>
          <w:p>
            <w:pPr>
              <w:pStyle w:val="4"/>
              <w:rPr>
                <w:rFonts w:hint="eastAsia" w:ascii="楷体" w:hAnsi="楷体" w:eastAsia="楷体"/>
                <w:sz w:val="24"/>
                <w:szCs w:val="24"/>
              </w:rPr>
            </w:pPr>
          </w:p>
          <w:p>
            <w:pPr>
              <w:pStyle w:val="4"/>
              <w:rPr>
                <w:rFonts w:hint="eastAsia" w:ascii="楷体" w:hAnsi="楷体" w:eastAsia="楷体"/>
                <w:sz w:val="24"/>
                <w:szCs w:val="24"/>
              </w:rPr>
            </w:pPr>
          </w:p>
          <w:p>
            <w:pPr>
              <w:pStyle w:val="4"/>
              <w:rPr>
                <w:rFonts w:hint="eastAsia" w:ascii="楷体" w:hAnsi="楷体" w:eastAsia="楷体"/>
                <w:sz w:val="24"/>
                <w:szCs w:val="24"/>
              </w:rPr>
            </w:pPr>
          </w:p>
          <w:p>
            <w:pPr>
              <w:pStyle w:val="4"/>
              <w:rPr>
                <w:rFonts w:hint="eastAsia" w:ascii="楷体" w:hAnsi="楷体" w:eastAsia="楷体"/>
                <w:sz w:val="24"/>
                <w:szCs w:val="24"/>
              </w:rPr>
            </w:pPr>
          </w:p>
          <w:p>
            <w:pPr>
              <w:pStyle w:val="4"/>
              <w:rPr>
                <w:rFonts w:hint="eastAsia" w:ascii="楷体" w:hAnsi="楷体" w:eastAsia="楷体"/>
                <w:sz w:val="24"/>
                <w:szCs w:val="24"/>
              </w:rPr>
            </w:pPr>
          </w:p>
          <w:p>
            <w:pPr>
              <w:pStyle w:val="4"/>
              <w:rPr>
                <w:rFonts w:hint="eastAsia" w:ascii="楷体" w:hAnsi="楷体" w:eastAsia="楷体"/>
                <w:sz w:val="24"/>
                <w:szCs w:val="24"/>
              </w:rPr>
            </w:pPr>
          </w:p>
          <w:p>
            <w:pPr>
              <w:pStyle w:val="4"/>
              <w:rPr>
                <w:rFonts w:hint="eastAsia" w:ascii="楷体" w:hAnsi="楷体" w:eastAsia="楷体"/>
                <w:sz w:val="24"/>
                <w:szCs w:val="24"/>
              </w:rPr>
            </w:pPr>
          </w:p>
          <w:p>
            <w:pPr>
              <w:spacing w:line="360" w:lineRule="auto"/>
              <w:rPr>
                <w:rFonts w:hint="eastAsia"/>
                <w:szCs w:val="22"/>
                <w:lang w:val="en-US" w:eastAsia="zh-CN"/>
              </w:rPr>
            </w:pPr>
          </w:p>
          <w:p>
            <w:pPr>
              <w:spacing w:line="360" w:lineRule="auto"/>
              <w:rPr>
                <w:rFonts w:hint="eastAsia" w:ascii="楷体" w:hAnsi="楷体" w:eastAsia="楷体"/>
                <w:b w:val="0"/>
                <w:bCs/>
                <w:sz w:val="24"/>
                <w:szCs w:val="24"/>
              </w:rPr>
            </w:pPr>
          </w:p>
        </w:tc>
        <w:tc>
          <w:tcPr>
            <w:tcW w:w="1311" w:type="dxa"/>
            <w:vAlign w:val="center"/>
          </w:tcPr>
          <w:p>
            <w:pPr>
              <w:spacing w:line="360" w:lineRule="auto"/>
              <w:rPr>
                <w:rFonts w:ascii="楷体" w:hAnsi="楷体" w:eastAsia="楷体"/>
                <w:b/>
                <w:sz w:val="24"/>
                <w:szCs w:val="24"/>
              </w:rPr>
            </w:pPr>
          </w:p>
        </w:tc>
        <w:tc>
          <w:tcPr>
            <w:tcW w:w="10004" w:type="dxa"/>
            <w:vAlign w:val="center"/>
          </w:tcPr>
          <w:p>
            <w:pPr>
              <w:spacing w:line="360" w:lineRule="auto"/>
              <w:rPr>
                <w:rFonts w:hint="eastAsia"/>
              </w:rPr>
            </w:pPr>
            <w:r>
              <w:rPr>
                <w:rFonts w:hint="eastAsia"/>
              </w:rPr>
              <w:t>总经理：豆胜怀</w:t>
            </w:r>
            <w:r>
              <w:rPr>
                <w:rFonts w:hint="eastAsia"/>
                <w:lang w:val="en-US" w:eastAsia="zh-CN"/>
              </w:rPr>
              <w:t xml:space="preserve">  </w:t>
            </w:r>
            <w:r>
              <w:rPr>
                <w:rFonts w:hint="eastAsia"/>
              </w:rPr>
              <w:t xml:space="preserve">管理者代表：豆亚涛 </w:t>
            </w:r>
            <w:r>
              <w:rPr>
                <w:rFonts w:hint="eastAsia"/>
                <w:lang w:val="en-US" w:eastAsia="zh-CN"/>
              </w:rPr>
              <w:t xml:space="preserve"> </w:t>
            </w:r>
            <w:r>
              <w:rPr>
                <w:rFonts w:hint="eastAsia"/>
                <w:lang w:eastAsia="zh-CN"/>
              </w:rPr>
              <w:t>职业健康安全管理体系的员工代表：赵越鑫</w:t>
            </w:r>
            <w:r>
              <w:rPr>
                <w:rFonts w:hint="eastAsia"/>
              </w:rPr>
              <w:t>，</w:t>
            </w:r>
          </w:p>
          <w:p>
            <w:pPr>
              <w:spacing w:line="360" w:lineRule="auto"/>
              <w:rPr>
                <w:rFonts w:hint="eastAsia"/>
              </w:rPr>
            </w:pPr>
            <w:r>
              <w:rPr>
                <w:rFonts w:hint="eastAsia"/>
              </w:rPr>
              <w:t>营业执照：河北盛隆教学设备有限公司</w:t>
            </w:r>
          </w:p>
          <w:p>
            <w:pPr>
              <w:spacing w:line="360" w:lineRule="auto"/>
              <w:rPr>
                <w:rFonts w:hint="default"/>
                <w:lang w:val="en-US" w:eastAsia="zh-CN"/>
              </w:rPr>
            </w:pPr>
            <w:r>
              <w:rPr>
                <w:rFonts w:hint="eastAsia"/>
              </w:rPr>
              <w:t>统一社会信用代码：911306</w:t>
            </w:r>
            <w:r>
              <w:rPr>
                <w:rFonts w:hint="eastAsia"/>
                <w:lang w:val="en-US" w:eastAsia="zh-CN"/>
              </w:rPr>
              <w:t>82MA07M2D25</w:t>
            </w:r>
          </w:p>
          <w:p>
            <w:pPr>
              <w:spacing w:line="360" w:lineRule="auto"/>
              <w:rPr>
                <w:rFonts w:hint="eastAsia"/>
              </w:rPr>
            </w:pPr>
            <w:r>
              <w:rPr>
                <w:rFonts w:hint="eastAsia"/>
              </w:rPr>
              <w:t>成立日期：201</w:t>
            </w:r>
            <w:r>
              <w:rPr>
                <w:rFonts w:hint="eastAsia"/>
                <w:lang w:val="en-US" w:eastAsia="zh-CN"/>
              </w:rPr>
              <w:t>5</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8日    有效期：20</w:t>
            </w:r>
            <w:r>
              <w:rPr>
                <w:rFonts w:hint="eastAsia"/>
                <w:lang w:val="en-US" w:eastAsia="zh-CN"/>
              </w:rPr>
              <w:t>35</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7日</w:t>
            </w:r>
          </w:p>
          <w:p>
            <w:pPr>
              <w:spacing w:line="360" w:lineRule="auto"/>
              <w:rPr>
                <w:rFonts w:hint="eastAsia"/>
                <w:lang w:val="en-US" w:eastAsia="zh-CN"/>
              </w:rPr>
            </w:pPr>
            <w:r>
              <w:rPr>
                <w:rFonts w:hint="eastAsia"/>
                <w:lang w:val="en-US" w:eastAsia="zh-CN"/>
              </w:rPr>
              <w:t>注册地址、经营地址、审核地址一致：定州市庞村镇西坂村</w:t>
            </w:r>
          </w:p>
          <w:p>
            <w:pPr>
              <w:spacing w:line="360" w:lineRule="auto"/>
              <w:rPr>
                <w:rFonts w:hint="eastAsia"/>
                <w:lang w:val="en-US" w:eastAsia="zh-CN"/>
              </w:rPr>
            </w:pPr>
            <w:r>
              <w:rPr>
                <w:rFonts w:hint="eastAsia"/>
                <w:lang w:val="en-US" w:eastAsia="zh-CN"/>
              </w:rPr>
              <w:t>经营范围：教学仅器、教学实验室设备,阅览室设备,体育器材,训练健身器材、音乐器材、美术器材、厨房设备,塑胶跑道,学生课桌、椅、床,办公家具,儿童玩教具(国家禁止经营的除外) 、标牌制造销售,教学用机器人,教学用航天模型、非电动游乐设备,安防设备,环卫设备,办公用品,家用电器、音响设备、舞台灯光设备,道具、计算机,软件及辅助设备.服装,多媒体教学设备批发,零售,图书零售,计算机网络工程安装(依法须经批准的项目,经相关部门批准后方可开展经营活动)）</w:t>
            </w:r>
          </w:p>
          <w:p>
            <w:pPr>
              <w:spacing w:line="360" w:lineRule="auto"/>
              <w:rPr>
                <w:rFonts w:hint="eastAsia"/>
              </w:rPr>
            </w:pPr>
            <w:r>
              <w:rPr>
                <w:rFonts w:hint="eastAsia"/>
              </w:rPr>
              <w:t>认证范围</w:t>
            </w:r>
            <w:r>
              <w:rPr>
                <w:rFonts w:hint="eastAsia"/>
                <w:lang w:eastAsia="zh-CN"/>
              </w:rPr>
              <w:t>：音体美器材、教学仪器、训练健身器材、学生课桌椅床、办公家具、厨房设备、音响设备、幼儿玩教具（国家禁止经营的除外）的销售</w:t>
            </w:r>
          </w:p>
          <w:p>
            <w:pPr>
              <w:pStyle w:val="4"/>
              <w:ind w:left="0" w:leftChars="0" w:firstLine="0" w:firstLineChars="0"/>
            </w:pPr>
            <w:r>
              <w:rPr>
                <w:rFonts w:hint="eastAsia"/>
              </w:rPr>
              <w:t>认证范围在经营范围内。</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jc w:val="left"/>
              <w:rPr>
                <w:rFonts w:hint="eastAsia"/>
              </w:rPr>
            </w:pPr>
            <w:r>
              <w:rPr>
                <w:rFonts w:hint="eastAsia"/>
              </w:rPr>
              <w:t>领导作用和承诺、组织的岗位职责和权限</w:t>
            </w:r>
          </w:p>
          <w:p>
            <w:pPr>
              <w:pStyle w:val="2"/>
              <w:rPr>
                <w:rFonts w:hint="eastAsia"/>
              </w:rPr>
            </w:pPr>
          </w:p>
          <w:p>
            <w:pPr>
              <w:spacing w:line="360" w:lineRule="auto"/>
              <w:jc w:val="left"/>
              <w:rPr>
                <w:rFonts w:hint="eastAsia"/>
                <w:szCs w:val="22"/>
              </w:rPr>
            </w:pPr>
            <w:r>
              <w:rPr>
                <w:rFonts w:hint="eastAsia"/>
                <w:szCs w:val="22"/>
              </w:rPr>
              <w:t>协商与参与、安全事务代表</w:t>
            </w:r>
          </w:p>
          <w:p>
            <w:pPr>
              <w:pStyle w:val="4"/>
              <w:rPr>
                <w:rFonts w:hint="eastAsia" w:asciiTheme="minorEastAsia" w:hAnsiTheme="minorEastAsia" w:eastAsiaTheme="minorEastAsia" w:cstheme="minorEastAsia"/>
                <w:sz w:val="21"/>
                <w:szCs w:val="21"/>
                <w:lang w:val="en-US" w:eastAsia="zh-CN"/>
              </w:rPr>
            </w:pPr>
          </w:p>
        </w:tc>
        <w:tc>
          <w:tcPr>
            <w:tcW w:w="131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5.1，5.3 </w:t>
            </w:r>
          </w:p>
          <w:p>
            <w:pPr>
              <w:spacing w:line="360" w:lineRule="auto"/>
              <w:jc w:val="left"/>
              <w:rPr>
                <w:rFonts w:hint="eastAsia" w:asciiTheme="minorEastAsia" w:hAnsiTheme="minorEastAsia" w:eastAsiaTheme="minorEastAsia" w:cstheme="minorEastAsia"/>
                <w:sz w:val="21"/>
                <w:szCs w:val="21"/>
              </w:rPr>
            </w:pPr>
          </w:p>
          <w:p>
            <w:pPr>
              <w:spacing w:line="360" w:lineRule="auto"/>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5.4</w:t>
            </w:r>
          </w:p>
        </w:tc>
        <w:tc>
          <w:tcPr>
            <w:tcW w:w="10004" w:type="dxa"/>
            <w:vAlign w:val="center"/>
          </w:tcPr>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据管代</w:t>
            </w:r>
            <w:r>
              <w:rPr>
                <w:rFonts w:hint="eastAsia"/>
              </w:rPr>
              <w:t>豆亚涛</w:t>
            </w:r>
            <w:r>
              <w:rPr>
                <w:rFonts w:hint="eastAsia" w:asciiTheme="minorEastAsia" w:hAnsiTheme="minorEastAsia" w:eastAsiaTheme="minorEastAsia" w:cstheme="minorEastAsia"/>
                <w:sz w:val="21"/>
                <w:szCs w:val="21"/>
              </w:rPr>
              <w:t>介绍，公司管理体系</w:t>
            </w:r>
            <w:r>
              <w:rPr>
                <w:rFonts w:hint="eastAsia" w:asciiTheme="minorEastAsia" w:hAnsiTheme="minorEastAsia" w:eastAsiaTheme="minorEastAsia" w:cstheme="minorEastAsia"/>
                <w:sz w:val="21"/>
                <w:szCs w:val="21"/>
                <w:lang w:val="en-US" w:eastAsia="zh-CN"/>
              </w:rPr>
              <w:t>2019年9月</w:t>
            </w:r>
            <w:r>
              <w:rPr>
                <w:rFonts w:hint="eastAsia" w:asciiTheme="minorEastAsia" w:hAnsiTheme="minorEastAsia" w:eastAsiaTheme="minorEastAsia" w:cstheme="minorEastAsia"/>
                <w:sz w:val="21"/>
                <w:szCs w:val="21"/>
              </w:rPr>
              <w:t>运行</w:t>
            </w:r>
            <w:r>
              <w:rPr>
                <w:rFonts w:hint="eastAsia" w:asciiTheme="minorEastAsia" w:hAnsiTheme="minorEastAsia" w:eastAsiaTheme="minorEastAsia" w:cstheme="minorEastAsia"/>
                <w:sz w:val="21"/>
                <w:szCs w:val="21"/>
                <w:lang w:val="en-US" w:eastAsia="zh-CN"/>
              </w:rPr>
              <w:t>以来</w:t>
            </w:r>
            <w:r>
              <w:rPr>
                <w:rFonts w:hint="eastAsia" w:asciiTheme="minorEastAsia" w:hAnsiTheme="minorEastAsia" w:eastAsiaTheme="minorEastAsia" w:cstheme="minorEastAsia"/>
                <w:sz w:val="21"/>
                <w:szCs w:val="21"/>
              </w:rPr>
              <w:t>。对部门</w:t>
            </w:r>
            <w:r>
              <w:rPr>
                <w:rFonts w:hint="eastAsia" w:asciiTheme="minorEastAsia" w:hAnsiTheme="minorEastAsia" w:eastAsiaTheme="minorEastAsia" w:cstheme="minorEastAsia"/>
                <w:sz w:val="21"/>
                <w:szCs w:val="21"/>
                <w:lang w:val="en-US" w:eastAsia="zh-CN"/>
              </w:rPr>
              <w:t>按其</w:t>
            </w:r>
            <w:r>
              <w:rPr>
                <w:rFonts w:hint="eastAsia" w:asciiTheme="minorEastAsia" w:hAnsiTheme="minorEastAsia" w:eastAsiaTheme="minorEastAsia" w:cstheme="minorEastAsia"/>
                <w:sz w:val="21"/>
                <w:szCs w:val="21"/>
              </w:rPr>
              <w:t>职责</w:t>
            </w:r>
            <w:r>
              <w:rPr>
                <w:rFonts w:hint="eastAsia" w:asciiTheme="minorEastAsia" w:hAnsiTheme="minorEastAsia" w:eastAsiaTheme="minorEastAsia" w:cstheme="minorEastAsia"/>
                <w:sz w:val="21"/>
                <w:szCs w:val="21"/>
                <w:lang w:val="en-US" w:eastAsia="zh-CN"/>
              </w:rPr>
              <w:t>运行正常</w:t>
            </w:r>
            <w:r>
              <w:rPr>
                <w:rFonts w:hint="eastAsia" w:asciiTheme="minorEastAsia" w:hAnsiTheme="minorEastAsia" w:eastAsiaTheme="minorEastAsia" w:cstheme="minorEastAsia"/>
                <w:sz w:val="21"/>
                <w:szCs w:val="21"/>
              </w:rPr>
              <w:t>，设有</w:t>
            </w:r>
            <w:r>
              <w:rPr>
                <w:rFonts w:hint="eastAsia" w:asciiTheme="minorEastAsia" w:hAnsiTheme="minorEastAsia" w:eastAsiaTheme="minorEastAsia" w:cstheme="minorEastAsia"/>
                <w:sz w:val="21"/>
                <w:szCs w:val="21"/>
                <w:lang w:val="en-US" w:eastAsia="zh-CN"/>
              </w:rPr>
              <w:t>综合</w:t>
            </w:r>
            <w:r>
              <w:rPr>
                <w:rFonts w:hint="eastAsia" w:asciiTheme="minorEastAsia" w:hAnsiTheme="minorEastAsia" w:eastAsiaTheme="minorEastAsia" w:cstheme="minorEastAsia"/>
                <w:sz w:val="21"/>
                <w:szCs w:val="21"/>
              </w:rPr>
              <w:t>部、</w:t>
            </w:r>
            <w:r>
              <w:rPr>
                <w:rFonts w:hint="eastAsia" w:asciiTheme="minorEastAsia" w:hAnsiTheme="minorEastAsia" w:eastAsiaTheme="minorEastAsia" w:cstheme="minorEastAsia"/>
                <w:sz w:val="21"/>
                <w:szCs w:val="21"/>
                <w:lang w:val="en-US" w:eastAsia="zh-CN"/>
              </w:rPr>
              <w:t>业务部</w:t>
            </w:r>
            <w:r>
              <w:rPr>
                <w:rFonts w:hint="eastAsia" w:asciiTheme="minorEastAsia" w:hAnsiTheme="minorEastAsia" w:eastAsiaTheme="minorEastAsia" w:cstheme="minorEastAsia"/>
                <w:sz w:val="21"/>
                <w:szCs w:val="21"/>
              </w:rPr>
              <w:t>岗位职责</w:t>
            </w:r>
            <w:r>
              <w:rPr>
                <w:rFonts w:hint="eastAsia" w:asciiTheme="minorEastAsia" w:hAnsiTheme="minorEastAsia" w:eastAsiaTheme="minorEastAsia" w:cstheme="minorEastAsia"/>
                <w:sz w:val="21"/>
                <w:szCs w:val="21"/>
                <w:lang w:val="en-US" w:eastAsia="zh-CN"/>
              </w:rPr>
              <w:t>明确</w:t>
            </w:r>
            <w:r>
              <w:rPr>
                <w:rFonts w:hint="eastAsia" w:asciiTheme="minorEastAsia" w:hAnsiTheme="minorEastAsia" w:eastAsiaTheme="minorEastAsia" w:cstheme="minorEastAsia"/>
                <w:sz w:val="21"/>
                <w:szCs w:val="21"/>
                <w:lang w:eastAsia="zh-CN"/>
              </w:rPr>
              <w:t>。</w:t>
            </w:r>
          </w:p>
          <w:p>
            <w:pPr>
              <w:spacing w:line="36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由于职业健康安全管理体系标准变化，</w:t>
            </w:r>
            <w:r>
              <w:rPr>
                <w:rFonts w:hint="eastAsia" w:asciiTheme="minorEastAsia" w:hAnsiTheme="minorEastAsia" w:eastAsiaTheme="minorEastAsia" w:cstheme="minorEastAsia"/>
                <w:sz w:val="21"/>
                <w:szCs w:val="21"/>
              </w:rPr>
              <w:t>组织依据GB/T19001-2016/ISO9001:2015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GB/T24001-2016/IS014001:2015、ISO45001:2018标准</w:t>
            </w:r>
            <w:r>
              <w:rPr>
                <w:rFonts w:hint="eastAsia" w:asciiTheme="minorEastAsia" w:hAnsiTheme="minorEastAsia" w:eastAsiaTheme="minorEastAsia" w:cstheme="minorEastAsia"/>
                <w:sz w:val="21"/>
                <w:szCs w:val="21"/>
                <w:lang w:val="en-US" w:eastAsia="zh-CN"/>
              </w:rPr>
              <w:t>的相关内容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对A0版手册进行了修订。</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提供B0版的 SLJX/SC-2019《质量、环境、职业健康安全管理手册》由总经理</w:t>
            </w:r>
            <w:r>
              <w:rPr>
                <w:rFonts w:hint="eastAsia" w:asciiTheme="minorEastAsia" w:hAnsiTheme="minorEastAsia" w:eastAsiaTheme="minorEastAsia" w:cstheme="minorEastAsia"/>
                <w:sz w:val="21"/>
                <w:szCs w:val="21"/>
              </w:rPr>
              <w:t>窦印良</w:t>
            </w:r>
            <w:r>
              <w:rPr>
                <w:rFonts w:hint="eastAsia" w:asciiTheme="minorEastAsia" w:hAnsiTheme="minorEastAsia" w:eastAsiaTheme="minorEastAsia" w:cstheme="minorEastAsia"/>
                <w:sz w:val="21"/>
                <w:szCs w:val="21"/>
                <w:lang w:val="en-US" w:eastAsia="zh-CN"/>
              </w:rPr>
              <w:t>签发，</w:t>
            </w:r>
            <w:r>
              <w:rPr>
                <w:rFonts w:hint="eastAsia" w:asciiTheme="minorEastAsia" w:hAnsiTheme="minorEastAsia" w:eastAsiaTheme="minorEastAsia" w:cstheme="minorEastAsia"/>
                <w:sz w:val="21"/>
                <w:szCs w:val="21"/>
              </w:rPr>
              <w:t>2019.</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rPr>
              <w:t>发布，2019年09月18日实施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任命管代：</w:t>
            </w:r>
            <w:r>
              <w:rPr>
                <w:rFonts w:hint="eastAsia"/>
              </w:rPr>
              <w:t>豆亚涛</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；职业健康安全事务代表：</w:t>
            </w:r>
            <w:r>
              <w:rPr>
                <w:rFonts w:hint="eastAsia"/>
                <w:lang w:eastAsia="zh-CN"/>
              </w:rPr>
              <w:t>赵越鑫</w:t>
            </w:r>
            <w:r>
              <w:rPr>
                <w:rFonts w:hint="eastAsia" w:asciiTheme="minorEastAsia" w:hAnsiTheme="minorEastAsia" w:eastAsiaTheme="minorEastAsia" w:cstheme="minorEastAsia"/>
                <w:sz w:val="21"/>
                <w:szCs w:val="21"/>
                <w:lang w:eastAsia="zh-CN"/>
              </w:rPr>
              <w:t xml:space="preserve"> 。</w:t>
            </w:r>
          </w:p>
          <w:p>
            <w:pPr>
              <w:spacing w:line="360" w:lineRule="auto"/>
              <w:ind w:firstLine="630" w:firstLineChars="3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包括人力、设备、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pPr>
              <w:spacing w:line="360" w:lineRule="auto"/>
              <w:rPr>
                <w:rFonts w:hint="eastAsia" w:asciiTheme="minorEastAsia" w:hAnsiTheme="minorEastAsia"/>
                <w:szCs w:val="22"/>
                <w:lang w:val="en-US" w:eastAsia="zh-CN"/>
              </w:rPr>
            </w:pPr>
            <w:r>
              <w:rPr>
                <w:rFonts w:hint="eastAsia" w:asciiTheme="minorEastAsia" w:hAnsiTheme="minorEastAsia"/>
                <w:szCs w:val="22"/>
                <w:lang w:val="en-US" w:eastAsia="zh-CN"/>
              </w:rPr>
              <w:t>管理者代表：协助总经理制定并贯彻本公司的质量方针、质量目标和环境方针、环境目标；负责质量、环境管理体系的建立、实施和保持，负责制定并审核《管理手册》、负责审核和批准《程序文件》。确保在整个组织内提高满足顾客要求的意识；审核环境目标、指标与管理方案，组织重要环境因素评价；负责管理评审的组织和策划，准备和提供输入文件；负责审批纠正/预防措施，主持内部质量、环境管理体系审核并确定审核组长；负责向公司总经理报告质量环境管理体系的业绩和任何改进的需求；负责与质量环境管理体系的有关事宜的外部联系；负责法律法规适用性审批。</w:t>
            </w:r>
          </w:p>
          <w:p>
            <w:pPr>
              <w:spacing w:line="360" w:lineRule="auto"/>
              <w:rPr>
                <w:rFonts w:asciiTheme="minorEastAsia" w:hAnsiTheme="minorEastAsia"/>
                <w:lang w:eastAsia="zh-CN"/>
              </w:rPr>
            </w:pPr>
            <w:r>
              <w:rPr>
                <w:rFonts w:hint="eastAsia" w:asciiTheme="minorEastAsia" w:hAnsiTheme="minorEastAsia"/>
                <w:szCs w:val="22"/>
                <w:lang w:eastAsia="zh-CN"/>
              </w:rPr>
              <w:t>职业健康安全事务代表：应适当参与公司</w:t>
            </w:r>
            <w:r>
              <w:rPr>
                <w:rFonts w:hint="eastAsia" w:asciiTheme="minorEastAsia" w:hAnsiTheme="minorEastAsia"/>
                <w:lang w:eastAsia="zh-CN"/>
              </w:rPr>
              <w:t>危险源辨识、风险评价和控制措施的确定；当公司发生事故事件时，应适当参与事件调查；适当参与职业健康安全方针和目标的制定和评审工作；对影响工作人员职业健康安全的任何方面的变更进行协商；对本公司的职业健康安全方面的事务发表任何意见。</w:t>
            </w:r>
          </w:p>
          <w:p>
            <w:pPr>
              <w:spacing w:line="360" w:lineRule="auto"/>
              <w:ind w:firstLine="630" w:firstLineChars="300"/>
              <w:rPr>
                <w:rFonts w:hint="eastAsia" w:ascii="宋体" w:hAnsi="宋体" w:eastAsia="宋体" w:cs="宋体"/>
                <w:szCs w:val="22"/>
              </w:rPr>
            </w:pPr>
            <w:r>
              <w:rPr>
                <w:rFonts w:hint="eastAsia" w:asciiTheme="minorEastAsia" w:hAnsiTheme="minorEastAsia" w:eastAsiaTheme="minorEastAsia" w:cstheme="minorEastAsia"/>
                <w:sz w:val="21"/>
                <w:szCs w:val="21"/>
                <w:lang w:val="en-US" w:eastAsia="zh-CN"/>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w:t>
            </w:r>
            <w:r>
              <w:rPr>
                <w:rFonts w:hint="eastAsia"/>
                <w:szCs w:val="36"/>
              </w:rPr>
              <w:t>岗位工作人员任</w:t>
            </w:r>
            <w:r>
              <w:rPr>
                <w:rFonts w:hint="eastAsia"/>
              </w:rPr>
              <w:t>职要求</w:t>
            </w:r>
            <w:r>
              <w:rPr>
                <w:rFonts w:hint="eastAsia" w:asciiTheme="minorEastAsia" w:hAnsiTheme="minorEastAsia" w:eastAsiaTheme="minorEastAsia" w:cstheme="minorEastAsia"/>
                <w:sz w:val="21"/>
                <w:szCs w:val="21"/>
                <w:lang w:val="en-US" w:eastAsia="zh-CN"/>
              </w:rPr>
              <w:t>》中得到规定。经查问组织内的职责和权限基本得到沟通，通过文件发布、传达、会议、培训等了解有关职责和权限。同总经理交谈，对于自身职责权限比较清楚。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top"/>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理解组织及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其环境</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总要求</w:t>
            </w:r>
          </w:p>
          <w:p>
            <w:pPr>
              <w:spacing w:line="360" w:lineRule="auto"/>
              <w:rPr>
                <w:rFonts w:hint="eastAsia" w:asciiTheme="minorEastAsia" w:hAnsiTheme="minorEastAsia" w:eastAsiaTheme="minorEastAsia" w:cstheme="minorEastAsia"/>
                <w:sz w:val="21"/>
                <w:szCs w:val="21"/>
                <w:lang w:val="en-US" w:eastAsia="zh-CN"/>
              </w:rPr>
            </w:pPr>
          </w:p>
        </w:tc>
        <w:tc>
          <w:tcPr>
            <w:tcW w:w="1311" w:type="dxa"/>
            <w:vAlign w:val="top"/>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QEO：4.1</w:t>
            </w:r>
          </w:p>
        </w:tc>
        <w:tc>
          <w:tcPr>
            <w:tcW w:w="10004" w:type="dxa"/>
            <w:vAlign w:val="center"/>
          </w:tcPr>
          <w:p>
            <w:pPr>
              <w:spacing w:line="360" w:lineRule="auto"/>
              <w:rPr>
                <w:rFonts w:hint="eastAsia"/>
              </w:rPr>
            </w:pPr>
            <w:r>
              <w:rPr>
                <w:rFonts w:hint="eastAsia"/>
              </w:rPr>
              <w:t>总经理：豆胜怀</w:t>
            </w:r>
            <w:r>
              <w:rPr>
                <w:rFonts w:hint="eastAsia"/>
                <w:lang w:val="en-US" w:eastAsia="zh-CN"/>
              </w:rPr>
              <w:t xml:space="preserve">  </w:t>
            </w:r>
            <w:r>
              <w:rPr>
                <w:rFonts w:hint="eastAsia"/>
              </w:rPr>
              <w:t xml:space="preserve">管理者代表：豆亚涛 </w:t>
            </w:r>
            <w:r>
              <w:rPr>
                <w:rFonts w:hint="eastAsia"/>
                <w:lang w:val="en-US" w:eastAsia="zh-CN"/>
              </w:rPr>
              <w:t xml:space="preserve"> </w:t>
            </w:r>
            <w:r>
              <w:rPr>
                <w:rFonts w:hint="eastAsia"/>
                <w:lang w:eastAsia="zh-CN"/>
              </w:rPr>
              <w:t>职业健康安全管理体系的员工代表：赵越鑫</w:t>
            </w:r>
            <w:r>
              <w:rPr>
                <w:rFonts w:hint="eastAsia"/>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val="en-US" w:eastAsia="zh-CN"/>
              </w:rPr>
              <w:t>质量、环境、职业健康安全管理手册</w:t>
            </w:r>
            <w:r>
              <w:rPr>
                <w:rFonts w:hint="eastAsia" w:ascii="宋体" w:hAnsi="宋体" w:eastAsia="宋体" w:cs="宋体"/>
                <w:sz w:val="21"/>
                <w:szCs w:val="21"/>
              </w:rPr>
              <w:t xml:space="preserve">》，对公司地理位置、国内市场地位、法律法规要求、公司内部文化观价值观、内外部环境变化等均作出描述。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询问总经理，公司确定了与本公司质量、环境、职业健康安全目标和战略方向相关并影响实现质量、环境、职业健康安全管理体系预期结果的各种内部因素（如公司的价值观、文化、知识、绩效等相关因素）和外部因素（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主要业务为音体美器材、教学仪器、训练健身器材、学生课桌椅床、办公家具、厨房设备、音响设备、幼儿玩教具（国家禁止经营的除外）的销售，主要客户学校和教育局等；公司采用经理负责制，层层把关，让用户真正放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提供了《组织内外部环境因素识别表》：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内部环境：资源因素－公司提供</w:t>
            </w:r>
            <w:r>
              <w:rPr>
                <w:rFonts w:hint="eastAsia" w:ascii="宋体" w:hAnsi="宋体" w:eastAsia="宋体" w:cs="宋体"/>
                <w:sz w:val="21"/>
                <w:szCs w:val="21"/>
                <w:lang w:val="en-US" w:eastAsia="zh-CN"/>
              </w:rPr>
              <w:t>产品</w:t>
            </w:r>
            <w:r>
              <w:rPr>
                <w:rFonts w:hint="eastAsia" w:ascii="宋体" w:hAnsi="宋体" w:eastAsia="宋体" w:cs="宋体"/>
                <w:sz w:val="21"/>
                <w:szCs w:val="21"/>
              </w:rPr>
              <w:t>的销售的场所，配备适宜的硬件和软件设施设备。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外部环境：竞争力－公司类别的销售，当前市场占有率不高，其他类似企业比较多－信息来源：市场调查和分析－具体现状描述：本公司产品质量稳定，但在市场中同行也多，竞争压力大……</w:t>
            </w:r>
          </w:p>
          <w:p>
            <w:pPr>
              <w:spacing w:line="360" w:lineRule="auto"/>
              <w:ind w:firstLine="420" w:firstLineChars="200"/>
              <w:rPr>
                <w:rFonts w:ascii="楷体" w:hAnsi="楷体" w:eastAsia="楷体"/>
                <w:sz w:val="24"/>
                <w:szCs w:val="24"/>
              </w:rPr>
            </w:pPr>
            <w:r>
              <w:rPr>
                <w:rFonts w:hint="eastAsia" w:ascii="宋体" w:hAnsi="宋体" w:eastAsia="宋体" w:cs="宋体"/>
                <w:sz w:val="21"/>
                <w:szCs w:val="21"/>
              </w:rPr>
              <w:t>公司管理层已确定了外部和内部因素，已经对经营环境、内外部环境进行分析并提出对策，并进行了监视和评审,对疫情产生的运行也进行了识别。</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理解相关方的需求和期望</w:t>
            </w:r>
          </w:p>
        </w:tc>
        <w:tc>
          <w:tcPr>
            <w:tcW w:w="1311"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QEO：4.2</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公司运营过程中充分考虑相关方方面的期望或要求，识别的相关方有：顾客、最终用户或受益人、业主，股东、员工等。业务部门和相关职能部门通过日常例会、市场活动、现场拜访、产品展销会、客户调查等多种渠道和方式方法随时了解相关方的需求和期望。做为公司经营风险分析和发展机遇的可利用资源。</w:t>
            </w:r>
          </w:p>
          <w:p>
            <w:pPr>
              <w:spacing w:line="360" w:lineRule="auto"/>
              <w:ind w:firstLine="420" w:firstLineChars="200"/>
              <w:rPr>
                <w:rFonts w:hint="eastAsia" w:ascii="楷体" w:hAnsi="楷体" w:eastAsia="楷体"/>
                <w:color w:val="000000"/>
                <w:sz w:val="24"/>
                <w:szCs w:val="24"/>
              </w:rPr>
            </w:pPr>
            <w:r>
              <w:rPr>
                <w:rFonts w:hint="eastAsia" w:ascii="宋体" w:hAnsi="宋体" w:eastAsia="宋体" w:cs="宋体"/>
                <w:sz w:val="21"/>
                <w:szCs w:val="21"/>
              </w:rPr>
              <w:t>内外部环境要素识别与评估：在每年的管理评审前，由相关部门负责人进行识别并评估其适宜性。在疫情期间对相关方的需求和期望进行了充分考虑，以便于持续满足相关方的需求和期望。</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质量/环境/职业健康安全/职业健康安全管理体系的范围</w:t>
            </w:r>
          </w:p>
        </w:tc>
        <w:tc>
          <w:tcPr>
            <w:tcW w:w="1311"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QEO：4.3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经确认企业的管理体系范围是：</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QMS: 音体美器材、教学仪器、训练健身器材、学生课桌椅床、办公家具、厨房设备、音响设备、幼儿玩教具（国家禁止经营的除外）的销售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EMS: 音体美器材、教学仪器、训练健身器材、学生课桌椅床、办公家具、厨房设备、音响设备、幼儿玩教具（国家禁止经营的除外）的销售所涉及场所的相关环境管理活动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OHSMS: 音体美器材、教学仪器、训练健身器材、学生课桌椅床、办公家具、厨房设备、音响设备、幼儿玩教具（国家禁止经营的除外）的销售所涉及场所的相关职业健康安全管理活动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根据企业产品和服务的特点，销售模式成熟，8.3为不适用条款，不适用理由合理。 </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宋体" w:hAnsi="宋体" w:eastAsia="宋体" w:cs="宋体"/>
                <w:sz w:val="21"/>
                <w:szCs w:val="21"/>
              </w:rPr>
              <w:t>对于企业的外包过程也进行了充分识别，就公司目前销售运营情况，企业暂无外包过程。无变化。</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809" w:type="dxa"/>
            <w:vAlign w:val="top"/>
          </w:tcPr>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管理体系及其过程</w:t>
            </w:r>
          </w:p>
          <w:p>
            <w:pPr>
              <w:spacing w:line="360" w:lineRule="auto"/>
              <w:ind w:firstLine="420" w:firstLineChars="200"/>
              <w:rPr>
                <w:rFonts w:hint="eastAsia" w:ascii="宋体" w:hAnsi="宋体" w:eastAsia="宋体" w:cs="宋体"/>
                <w:sz w:val="21"/>
                <w:szCs w:val="21"/>
                <w:lang w:val="en-US" w:eastAsia="zh-CN"/>
              </w:rPr>
            </w:pPr>
          </w:p>
        </w:tc>
        <w:tc>
          <w:tcPr>
            <w:tcW w:w="1311" w:type="dxa"/>
            <w:vAlign w:val="top"/>
          </w:tcPr>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QEO：4.4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w:t>
            </w:r>
            <w:r>
              <w:rPr>
                <w:rFonts w:hint="eastAsia" w:ascii="宋体" w:hAnsi="宋体" w:eastAsia="宋体" w:cs="宋体"/>
                <w:sz w:val="21"/>
                <w:szCs w:val="21"/>
                <w:lang w:val="en-US" w:eastAsia="zh-CN"/>
              </w:rPr>
              <w:t>在</w:t>
            </w:r>
            <w:r>
              <w:rPr>
                <w:rFonts w:hint="eastAsia" w:ascii="宋体" w:hAnsi="宋体" w:eastAsia="宋体" w:cs="宋体"/>
                <w:sz w:val="21"/>
                <w:szCs w:val="21"/>
              </w:rPr>
              <w:t>建立并正式实施管理体系</w:t>
            </w:r>
            <w:r>
              <w:rPr>
                <w:rFonts w:hint="eastAsia" w:ascii="宋体" w:hAnsi="宋体" w:eastAsia="宋体" w:cs="宋体"/>
                <w:sz w:val="21"/>
                <w:szCs w:val="21"/>
                <w:lang w:val="en-US" w:eastAsia="zh-CN"/>
              </w:rPr>
              <w:t>以来</w:t>
            </w:r>
            <w:r>
              <w:rPr>
                <w:rFonts w:hint="eastAsia" w:ascii="宋体" w:hAnsi="宋体" w:eastAsia="宋体" w:cs="宋体"/>
                <w:sz w:val="21"/>
                <w:szCs w:val="21"/>
                <w:lang w:eastAsia="zh-CN"/>
              </w:rPr>
              <w:t>，</w:t>
            </w:r>
            <w:r>
              <w:rPr>
                <w:rFonts w:hint="eastAsia" w:ascii="宋体" w:hAnsi="宋体" w:eastAsia="宋体" w:cs="宋体"/>
                <w:sz w:val="21"/>
                <w:szCs w:val="21"/>
              </w:rPr>
              <w:t>根据自身的实际情况和标准的要求组织工作人员编制了管理手册、作业文件和记录表格，制定了管理方针和管理目标。通过对过程监测结果进行分析，公司管理体系不断改进。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确定了管理体系所需的过程，如文件与记录管理过程、合同评审过程、销售过程，并明确各过程的目标和职责，及各过程之间的衔接和影响。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出示有“部门管理目标策划记录”对管理目标完成情况进行检查、统计、记录。</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提供了支持过程策划和运行的形成文件的信息。</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809"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以顾客为关注焦点</w:t>
            </w:r>
          </w:p>
        </w:tc>
        <w:tc>
          <w:tcPr>
            <w:tcW w:w="1311"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QES</w:t>
            </w:r>
            <w:r>
              <w:rPr>
                <w:rFonts w:hint="eastAsia" w:ascii="宋体" w:hAnsi="宋体" w:cs="宋体"/>
                <w:sz w:val="21"/>
                <w:szCs w:val="21"/>
                <w:lang w:eastAsia="zh-CN"/>
              </w:rPr>
              <w:t>：</w:t>
            </w:r>
            <w:r>
              <w:rPr>
                <w:rFonts w:hint="eastAsia" w:ascii="宋体" w:hAnsi="宋体" w:eastAsia="宋体" w:cs="宋体"/>
                <w:sz w:val="21"/>
                <w:szCs w:val="21"/>
              </w:rPr>
              <w:t>5.1.2</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公司通过投标、市场调研等方式了解顾客的需求，确定他们关心的产品特性，特别是产品的关键特性。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在确定顾客的需求和期望时，公司同时考虑与产品有关的义务（如安全的责任、环境保护要求等）和法律法规要求，并采取措施，使其得到落实。</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确定、理解并持续满足顾客要求以及适用的法律法规要求；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确定和应对能够影响产品、服务符合性以及增强顾客满意能力的风险和机遇；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通过定期对顾客满意度进行测量、售后服务了解顾客对产品的意见，始终致力于增强顾客满意。</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方针</w:t>
            </w:r>
          </w:p>
        </w:tc>
        <w:tc>
          <w:tcPr>
            <w:tcW w:w="1311"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QEO：5.2 </w:t>
            </w:r>
          </w:p>
        </w:tc>
        <w:tc>
          <w:tcPr>
            <w:tcW w:w="10004"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公司的质量、环境、职业健康安全方针是：</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优质服务、顾客满意、环保达标、健康安全、</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遵规守法、持续改进、防止人身伤害和健康损害。</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公司通过各种宣传方式，将质量方针宣传到本公司各层次，确保方针得到正确的理解和实施。</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在确定顾客的需求和期望时，公司同时考虑与产品有关的义务（如安全的责任、环境保护要求等）和法律法规要求，并采取措施，使其得到落实,疫情期间对顾客满意进行了充分考虑，尽最大努力达到顾客满意。</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809"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应对风险和机会的措施</w:t>
            </w:r>
          </w:p>
        </w:tc>
        <w:tc>
          <w:tcPr>
            <w:tcW w:w="1311"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Q：6.1</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 6.1.1</w:t>
            </w:r>
          </w:p>
        </w:tc>
        <w:tc>
          <w:tcPr>
            <w:tcW w:w="10004"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与负责人交流，公司成立多年，公司积累了大量优质和长期客户；同时鉴于音体美器材、教学仪器、训练健身器材、学生课桌椅床、办公家具、厨房设备、音响设备、幼儿玩教具的销售市场竞争激烈，加上市场大环境的变化，这两年造成公司利润有所降低，公司采取做好内功，在内部加强管理的同时，提升企业资质，进一步扩大市场准入权。出示有《风险和机遇评估分析表》明确了风险和机遇事件的识别方法/途径、风险和机遇的评估方式，对识别出的风险和机遇制定有效的应对措施；并评价这些措施有效性。</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如：人员风险：销售岗位需要心理素质较强，因人员流动性大，人员的不稳定是当前客户最为不满的一点。</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制定的管理措施为：岗位示范、骨干引路、科技安全、加强沟通、形成核心团队；增加人员培训，储备人才队伍，改善员工待遇，确定工资、保险、福利增长幅度，稳定员工队伍等。</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综合办公室组织各部门相关人员对风险和机遇事件进行评估，确定公司的主要风险和机遇的事件，报总经理审核后确定控制措施。</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各部门根据本部门的活动、产品和服务过程，分析其风险和机遇，进行风险和机遇调查。</w:t>
            </w:r>
          </w:p>
          <w:p>
            <w:pPr>
              <w:spacing w:line="360" w:lineRule="auto"/>
              <w:rPr>
                <w:rFonts w:hint="eastAsia"/>
                <w:lang w:val="en-US" w:eastAsia="zh-CN"/>
              </w:rPr>
            </w:pPr>
            <w:r>
              <w:rPr>
                <w:rFonts w:hint="eastAsia" w:asciiTheme="minorEastAsia" w:hAnsiTheme="minorEastAsia" w:eastAsiaTheme="minorEastAsia" w:cstheme="minorEastAsia"/>
                <w:sz w:val="21"/>
                <w:szCs w:val="21"/>
                <w:lang w:val="en-US" w:eastAsia="zh-CN"/>
              </w:rPr>
              <w:t>公司于2019.9.18对应对风险和机遇的措施进行了评价，结果：认定各项措施正实施中，目前措施有效。对疫情的影响也制定了应对措施，</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管理目标及其实现的策划</w:t>
            </w:r>
          </w:p>
        </w:tc>
        <w:tc>
          <w:tcPr>
            <w:tcW w:w="1311"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QES6.2</w:t>
            </w:r>
          </w:p>
          <w:p>
            <w:pPr>
              <w:spacing w:line="360" w:lineRule="auto"/>
              <w:rPr>
                <w:rFonts w:hint="eastAsia" w:asciiTheme="minorEastAsia" w:hAnsiTheme="minorEastAsia" w:eastAsiaTheme="minorEastAsia" w:cstheme="minorEastAsia"/>
                <w:sz w:val="21"/>
                <w:szCs w:val="21"/>
                <w:lang w:val="en-US" w:eastAsia="zh-CN"/>
              </w:rPr>
            </w:pPr>
          </w:p>
        </w:tc>
        <w:tc>
          <w:tcPr>
            <w:tcW w:w="10004"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总经理负责组织制定公司的管理目标，并在公司各部门进行分解，制定时考虑了公司的质量过程及其风险和机遇。</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公司质量目标：                       完成情况 </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交付产品合格率达到100%；          100%</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顾客满意率≥95%                    96%</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c)固体废弃物分类率100%；               100%</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d)消除火灾隐患，火灾发生率为0。         0</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以上目标指标均已完成。</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提供《目标指标和管理方案》《目标指标和管理方案考核表》</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以上目标指标均已完成，管理方案规定了措施方法、完成时间表、责任人、资金等情况。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809"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变更的策划</w:t>
            </w:r>
          </w:p>
        </w:tc>
        <w:tc>
          <w:tcPr>
            <w:tcW w:w="1311"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Q6.3</w:t>
            </w:r>
          </w:p>
        </w:tc>
        <w:tc>
          <w:tcPr>
            <w:tcW w:w="10004"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职业健康安全进行了换版，换版后暂无变更情况发生。</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809"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资源-总则</w:t>
            </w:r>
          </w:p>
        </w:tc>
        <w:tc>
          <w:tcPr>
            <w:tcW w:w="1311"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QES：</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7.1.1/7.1</w:t>
            </w:r>
          </w:p>
        </w:tc>
        <w:tc>
          <w:tcPr>
            <w:tcW w:w="10004"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公司根据公司经营运行需要，配备了各岗位所需人员、经营用房屋、办公设备（电脑、打印机等）、消防器材、劳动防护用品、经营运行资金等资源，体系建立至今，未发生资源不足影响满足客户要求的现象.</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办公面积约150平米，打印机、电脑、复印件等配备齐全。无变化。</w:t>
            </w:r>
          </w:p>
        </w:tc>
        <w:tc>
          <w:tcPr>
            <w:tcW w:w="1585"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809"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绩效测量和监视</w:t>
            </w:r>
          </w:p>
        </w:tc>
        <w:tc>
          <w:tcPr>
            <w:tcW w:w="1311"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QES:9.1.1</w:t>
            </w:r>
          </w:p>
          <w:p>
            <w:pPr>
              <w:spacing w:line="360" w:lineRule="auto"/>
              <w:rPr>
                <w:rFonts w:hint="eastAsia" w:asciiTheme="minorEastAsia" w:hAnsiTheme="minorEastAsia" w:eastAsiaTheme="minorEastAsia" w:cstheme="minorEastAsia"/>
                <w:sz w:val="21"/>
                <w:szCs w:val="21"/>
                <w:lang w:val="en-US" w:eastAsia="zh-CN"/>
              </w:rPr>
            </w:pPr>
          </w:p>
        </w:tc>
        <w:tc>
          <w:tcPr>
            <w:tcW w:w="10004"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公司编制了《顾客满意度调查控制程序》对销售服务的质量特性进行监视和测量，以验证其符合要求的程度，确保服务符合要求。</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公司制定《不合格输出控制程序》，为保证公司质量管理体系的有效运行，通过对管理绩效的监视与测量，确保体系运行的有效性。</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查阅“部门质量目标策划及考核记录表”，体系建立至今共进行了两个季度的管理目标指标的检查考核工作，均完成目标考核要求。</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查阅“环境和职业健康安全目标指标完成情况检查表”，体系建立至今共进行了两个季度的管理目标指标的检查考核工作，均完成目标考核要求。</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环境和职业健康安全运行管理检查情况：抽查2019.12.31和2020.4.30管理检查记录，受检部门：综合办公室、销售部，检查人：孟海防，对固废收集、节约能源等方面进行检查、劳保用品发放、安全管理进行检查，一切正常。</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查公司每月为员工购买有养老等保险，提供保险单。</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外部对公司环境和安全管理要求一般口头交流；对供应商及客户等相关方有“相关方告知书”等。</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目前未发现公司出现违规现象。无被动性绩效的监视和测量。</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公司不需要对环境影响的运行的关键特性和职业健康安全绩效进行监测和测量的设备。</w:t>
            </w:r>
          </w:p>
        </w:tc>
        <w:tc>
          <w:tcPr>
            <w:tcW w:w="1585" w:type="dxa"/>
            <w:vAlign w:val="center"/>
          </w:tcPr>
          <w:p>
            <w:pPr>
              <w:rPr>
                <w:rFonts w:hint="eastAsia"/>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809"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管理评审</w:t>
            </w:r>
          </w:p>
        </w:tc>
        <w:tc>
          <w:tcPr>
            <w:tcW w:w="1311"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QES：9.3</w:t>
            </w:r>
          </w:p>
        </w:tc>
        <w:tc>
          <w:tcPr>
            <w:tcW w:w="10004"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公司于2020年1月16日进行本年度管理评审</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上年度管理评审时间2019年5月31日，2次审核时间未超过12个月。</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依据：GB/T19001-2016\GB/T24001-2016\ISO45001:2018标准进行管理评审。</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目前正标准要求平稳运行，至今暂无变更情况发生。</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查阅公司管理评审资料：</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一、管理评审计划，评审时间：2020年1月16日评审方式：会议评审</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参加人员：豆胜怀、豆亚涛、张金凤、豆亚涛、赵越鑫等。计划中明确了评审内容和资料准备要求。</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二、管理评审输入：</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方针目标适宜性、质量目标的实现程度、体系策划和运行情况、可能的变更、外部供方的绩效、内审情况、顾客满意情况及纠正措施完成情况，应对风险和机遇所采取措施的有效性以及改进的建议等等。</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以上内容可通过会上口头发言及工作总结、汇报等形式体现。</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三、查看“管理评审报告”，报告中对本次管理评审做了总结，评价了公司建立、运行管理体系的效果。</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四、管理评审输出/评审结论：</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过了又经过近一年的质量、职业健康安全、环境管理体系运行，我们在内部审核中虽然发现了问题，但员工并没有放弃而是积极整改，制定具体措施。近期没有顾客对本公司提出投诉，经过评审认为：本公司质量、环境、职业健康安全管理体系是符合标准的、是符合我公司实际的、是可行的、是有效的、充分的、适宜的。管理方针、管理目标是适宜的。</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编制：豆亚涛 批准：豆胜怀       2020年1月16日</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管理评审改进决议：</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在质量管理体系推行运作时，管理体系推行还存在不少待改进之处，主要有以下几点：</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加强销售人员安全防护意识的培训；管理评审纠正措施正在实施过程中。</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上次管理评审改进建议已经有效实施。</w:t>
            </w:r>
            <w:bookmarkStart w:id="0" w:name="_GoBack"/>
            <w:bookmarkEnd w:id="0"/>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809"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体系的运行现状及改进的要求</w:t>
            </w:r>
          </w:p>
        </w:tc>
        <w:tc>
          <w:tcPr>
            <w:tcW w:w="1311"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QES:10.1</w:t>
            </w:r>
          </w:p>
          <w:p>
            <w:pPr>
              <w:spacing w:line="360" w:lineRule="auto"/>
              <w:rPr>
                <w:rFonts w:hint="eastAsia" w:asciiTheme="minorEastAsia" w:hAnsiTheme="minorEastAsia" w:eastAsiaTheme="minorEastAsia" w:cstheme="minorEastAsia"/>
                <w:sz w:val="21"/>
                <w:szCs w:val="21"/>
                <w:lang w:val="en-US" w:eastAsia="zh-CN"/>
              </w:rPr>
            </w:pPr>
          </w:p>
        </w:tc>
        <w:tc>
          <w:tcPr>
            <w:tcW w:w="10004"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企业自体系建立以来，通过内审的改进、管理评审；纠正措施的实施、顾客满意度调查等措施，采取了具体的改进措施。基本符合要求。</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总经理豆胜怀通过建立管理方针和目标，并鼓励员工提合理化建议，营造了一个激励改进的氛围，通过质量目标的建立与考核，明确了改进、努 力的方向，通过销售服务以满足需求，通过内审、管理评审、数据分析与实施纠正和纠正措施，建立一个自我完善、持续改进的机制，不断改进体系绩效和有效性。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809"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持续改进</w:t>
            </w:r>
          </w:p>
        </w:tc>
        <w:tc>
          <w:tcPr>
            <w:tcW w:w="1311"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QES：10.3</w:t>
            </w:r>
          </w:p>
        </w:tc>
        <w:tc>
          <w:tcPr>
            <w:tcW w:w="10004"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公司规定了纠正措施的来源,明确了对不合格项应进行原因分析,制定纠正措施计划,实施跟踪验证,确保所采取 的纠正措施满足预期要求。</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对以上不合格品采取退货货处置，对其进行原因分析并采取纠正措施，经主管经理验收，有效。</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内审中发现的不符合项已经采取纠正措施，整改完毕且有效。</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通过交谈，基本能清楚纠正和预防措施的控制要求。改进的示例包括纠正、纠正措施、持续改进、突变、创新或重组。</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为确保公司提供给客户合格的产品和服务，公司开展检查和考核工作。</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根据不同过程、不同产品和不同要求，采取不同的方法进行监视、测量和分析。无其他不符合发生。</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公司利用质量方针、目标、内审和外审、数据分析、纠正和预防措施以及管理评审，识别任何改进的机会，持续改进质量管理体系的适宜性、充分性和有效性。</w:t>
            </w:r>
          </w:p>
          <w:p>
            <w:pPr>
              <w:spacing w:line="360" w:lineRule="auto"/>
              <w:rPr>
                <w:rFonts w:hint="eastAsia" w:asciiTheme="minorEastAsia" w:hAnsiTheme="minorEastAsia" w:eastAsiaTheme="minorEastAsia" w:cstheme="minorEastAsia"/>
                <w:sz w:val="21"/>
                <w:szCs w:val="21"/>
                <w:lang w:val="en-US" w:eastAsia="zh-CN"/>
              </w:rPr>
            </w:pP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09" w:type="dxa"/>
            <w:vAlign w:val="top"/>
          </w:tcPr>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标准/规范/法规的执行情况、上次审核不符合项的验证、认证证书、标志的使用情况、投诉或事故、监督抽查情况、体系变动</w:t>
            </w:r>
          </w:p>
        </w:tc>
        <w:tc>
          <w:tcPr>
            <w:tcW w:w="1311" w:type="dxa"/>
            <w:vAlign w:val="top"/>
          </w:tcPr>
          <w:p>
            <w:pPr>
              <w:snapToGrid w:val="0"/>
              <w:spacing w:line="360" w:lineRule="auto"/>
              <w:ind w:firstLine="420" w:firstLineChars="200"/>
              <w:rPr>
                <w:rFonts w:hint="eastAsia" w:ascii="宋体" w:hAnsi="宋体" w:eastAsia="宋体" w:cs="宋体"/>
                <w:color w:val="000000"/>
                <w:sz w:val="21"/>
                <w:szCs w:val="21"/>
              </w:rPr>
            </w:pPr>
          </w:p>
        </w:tc>
        <w:tc>
          <w:tcPr>
            <w:tcW w:w="10004" w:type="dxa"/>
            <w:vAlign w:val="top"/>
          </w:tcPr>
          <w:p>
            <w:pPr>
              <w:spacing w:line="36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公司执行 GB/T19001-2016/ISO 9001:2015、GB/T24001-2016/ISO 14001:2015及GB/T45001—2020/ISO 45001:2018标准，遵守与企业相关的法律法规和地方政策，产品执行企业标准；上次审核发现的一般不符合项，经现场查验均按要求进行了整改，验证合格。认证证书主要为企业招投标使用，产品、包装上未使用相关标志；目前为止未发生顾客投诉和事故情况；体系运行正常没有变动.</w:t>
            </w:r>
          </w:p>
          <w:p>
            <w:pPr>
              <w:spacing w:line="360" w:lineRule="auto"/>
              <w:rPr>
                <w:rFonts w:hint="eastAsia"/>
              </w:rPr>
            </w:pPr>
            <w:r>
              <w:rPr>
                <w:rFonts w:hint="eastAsia" w:asciiTheme="minorEastAsia" w:hAnsiTheme="minorEastAsia" w:eastAsiaTheme="minorEastAsia" w:cstheme="minorEastAsia"/>
                <w:sz w:val="21"/>
                <w:szCs w:val="21"/>
                <w:lang w:val="en-US" w:eastAsia="zh-CN"/>
              </w:rPr>
              <w:t>查国家企业信用信息公示系统，企业无异常经营记录、无违法失信记录。</w:t>
            </w:r>
          </w:p>
        </w:tc>
        <w:tc>
          <w:tcPr>
            <w:tcW w:w="1585" w:type="dxa"/>
            <w:vAlign w:val="top"/>
          </w:tcPr>
          <w:p>
            <w:pPr>
              <w:rPr>
                <w:rFonts w:ascii="楷体" w:hAnsi="楷体" w:eastAsia="楷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809" w:type="dxa"/>
          </w:tcPr>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国家/地方抽查、顾客满意、相关方投诉处理</w:t>
            </w:r>
          </w:p>
        </w:tc>
        <w:tc>
          <w:tcPr>
            <w:tcW w:w="1311" w:type="dxa"/>
          </w:tcPr>
          <w:p>
            <w:pPr>
              <w:snapToGrid w:val="0"/>
              <w:spacing w:line="360" w:lineRule="auto"/>
              <w:ind w:firstLine="420" w:firstLineChars="200"/>
              <w:rPr>
                <w:rFonts w:hint="eastAsia" w:ascii="宋体" w:hAnsi="宋体" w:eastAsia="宋体" w:cs="宋体"/>
                <w:color w:val="000000"/>
                <w:sz w:val="21"/>
                <w:szCs w:val="21"/>
              </w:rPr>
            </w:pPr>
          </w:p>
        </w:tc>
        <w:tc>
          <w:tcPr>
            <w:tcW w:w="10004" w:type="dxa"/>
          </w:tcPr>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自公司成立以来，未受到上级主管部门有关质量、环境问题、职业健康安全的行政处罚。未发生相关方的投诉。</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暂时没有国家/地方抽查情况。</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目前没有相关行政主管部门的检查处罚，在审核现场也未发现抽查、相关方投诉等情况。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验证资质</w:t>
            </w:r>
          </w:p>
        </w:tc>
        <w:tc>
          <w:tcPr>
            <w:tcW w:w="1311" w:type="dxa"/>
          </w:tcPr>
          <w:p>
            <w:pPr>
              <w:snapToGrid w:val="0"/>
              <w:spacing w:line="360" w:lineRule="auto"/>
              <w:ind w:firstLine="420" w:firstLineChars="200"/>
              <w:rPr>
                <w:rFonts w:hint="eastAsia" w:ascii="宋体" w:hAnsi="宋体" w:eastAsia="宋体" w:cs="宋体"/>
                <w:color w:val="000000"/>
                <w:sz w:val="21"/>
                <w:szCs w:val="21"/>
              </w:rPr>
            </w:pPr>
          </w:p>
        </w:tc>
        <w:tc>
          <w:tcPr>
            <w:tcW w:w="10004" w:type="dxa"/>
          </w:tcPr>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提供了组织营业执照有效。</w:t>
            </w:r>
          </w:p>
        </w:tc>
        <w:tc>
          <w:tcPr>
            <w:tcW w:w="1585" w:type="dxa"/>
          </w:tcPr>
          <w:p>
            <w:pPr>
              <w:spacing w:line="360" w:lineRule="auto"/>
              <w:rPr>
                <w:rFonts w:ascii="楷体" w:hAnsi="楷体" w:eastAsia="楷体"/>
                <w:sz w:val="24"/>
                <w:szCs w:val="24"/>
              </w:rPr>
            </w:pPr>
          </w:p>
        </w:tc>
      </w:tr>
    </w:tbl>
    <w:p>
      <w:pPr>
        <w:jc w:val="center"/>
        <w:rPr>
          <w:rFonts w:ascii="楷体" w:hAnsi="楷体" w:eastAsia="楷体"/>
        </w:rPr>
      </w:pPr>
      <w:r>
        <w:rPr>
          <w:rFonts w:ascii="楷体" w:hAnsi="楷体" w:eastAsia="楷体"/>
        </w:rPr>
        <w:br w:type="textWrapping" w:clear="all"/>
      </w:r>
    </w:p>
    <w:p>
      <w:pPr>
        <w:pStyle w:val="8"/>
        <w:rPr>
          <w:rFonts w:ascii="楷体" w:hAnsi="楷体" w:eastAsia="楷体"/>
        </w:rPr>
      </w:pPr>
      <w:r>
        <w:rPr>
          <w:rFonts w:hint="eastAsia" w:ascii="楷体" w:hAnsi="楷体" w:eastAsia="楷体"/>
        </w:rPr>
        <w:t>说明：不符合标注</w:t>
      </w:r>
      <w:r>
        <w:rPr>
          <w:rFonts w:ascii="楷体" w:hAnsi="楷体" w:eastAsia="楷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6"/>
        <w:rFonts w:hint="eastAsia"/>
      </w:rPr>
      <w:t>北京国标联合认证有限公司</w:t>
    </w:r>
    <w:r>
      <w:rPr>
        <w:rStyle w:val="16"/>
      </w:rPr>
      <w:tab/>
    </w:r>
    <w:r>
      <w:rPr>
        <w:rStyle w:val="16"/>
      </w:rPr>
      <w:tab/>
    </w:r>
    <w:r>
      <w:rPr>
        <w:rStyle w:val="16"/>
      </w:rPr>
      <w:tab/>
    </w:r>
  </w:p>
  <w:p>
    <w:pPr>
      <w:pStyle w:val="9"/>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6"/>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07E31045"/>
    <w:rsid w:val="086E6A5B"/>
    <w:rsid w:val="08D25264"/>
    <w:rsid w:val="108219C2"/>
    <w:rsid w:val="11920312"/>
    <w:rsid w:val="14EB58D3"/>
    <w:rsid w:val="18A36E43"/>
    <w:rsid w:val="18DA4B79"/>
    <w:rsid w:val="1E4E7EEF"/>
    <w:rsid w:val="243B4EFE"/>
    <w:rsid w:val="2AE33575"/>
    <w:rsid w:val="334C39D0"/>
    <w:rsid w:val="35107CFD"/>
    <w:rsid w:val="35AB230E"/>
    <w:rsid w:val="386D46DB"/>
    <w:rsid w:val="3C0E565E"/>
    <w:rsid w:val="45281792"/>
    <w:rsid w:val="452F1F6F"/>
    <w:rsid w:val="4C795D7A"/>
    <w:rsid w:val="4FE1154F"/>
    <w:rsid w:val="51FA7BA5"/>
    <w:rsid w:val="581D7B68"/>
    <w:rsid w:val="5E441A9B"/>
    <w:rsid w:val="5EA12B9A"/>
    <w:rsid w:val="60B66F5B"/>
    <w:rsid w:val="63743DBE"/>
    <w:rsid w:val="680151E4"/>
    <w:rsid w:val="68714B83"/>
    <w:rsid w:val="68B8560A"/>
    <w:rsid w:val="6E5A72E8"/>
    <w:rsid w:val="6F1216C3"/>
    <w:rsid w:val="79403FCC"/>
    <w:rsid w:val="7BD3355A"/>
    <w:rsid w:val="7CDB027D"/>
    <w:rsid w:val="7FB826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黑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locked/>
    <w:uiPriority w:val="0"/>
    <w:pPr>
      <w:keepNext/>
      <w:spacing w:before="100" w:beforeAutospacing="1"/>
      <w:ind w:firstLine="0" w:firstLineChars="0"/>
      <w:jc w:val="both"/>
      <w:outlineLvl w:val="0"/>
    </w:pPr>
    <w:rPr>
      <w:rFonts w:cs="Arial" w:asciiTheme="minorEastAsia" w:hAnsiTheme="minorEastAsia"/>
      <w:b/>
      <w:spacing w:val="-20"/>
      <w:sz w:val="30"/>
    </w:rPr>
  </w:style>
  <w:style w:type="paragraph" w:styleId="2">
    <w:name w:val="heading 2"/>
    <w:basedOn w:val="3"/>
    <w:next w:val="4"/>
    <w:qFormat/>
    <w:locked/>
    <w:uiPriority w:val="99"/>
    <w:pPr>
      <w:keepNext/>
      <w:tabs>
        <w:tab w:val="left" w:pos="3510"/>
        <w:tab w:val="left" w:pos="3585"/>
        <w:tab w:val="center" w:pos="4410"/>
        <w:tab w:val="left" w:pos="4620"/>
        <w:tab w:val="left" w:pos="4830"/>
        <w:tab w:val="left" w:pos="5580"/>
      </w:tabs>
      <w:outlineLvl w:val="1"/>
    </w:pPr>
    <w:rPr>
      <w:rFonts w:ascii="Calibri" w:hAnsi="Calibri"/>
      <w:bCs/>
      <w:sz w:val="32"/>
      <w:szCs w:val="20"/>
    </w:rPr>
  </w:style>
  <w:style w:type="paragraph" w:styleId="5">
    <w:name w:val="heading 3"/>
    <w:basedOn w:val="2"/>
    <w:next w:val="1"/>
    <w:qFormat/>
    <w:locked/>
    <w:uiPriority w:val="0"/>
    <w:pPr>
      <w:outlineLvl w:val="2"/>
    </w:p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left="480"/>
      <w:textAlignment w:val="baseline"/>
    </w:pPr>
    <w:rPr>
      <w:kern w:val="0"/>
    </w:rPr>
  </w:style>
  <w:style w:type="paragraph" w:styleId="6">
    <w:name w:val="List 3"/>
    <w:basedOn w:val="1"/>
    <w:qFormat/>
    <w:uiPriority w:val="0"/>
    <w:pPr>
      <w:ind w:left="100" w:leftChars="400" w:hanging="200" w:hangingChars="200"/>
    </w:pPr>
  </w:style>
  <w:style w:type="paragraph" w:styleId="7">
    <w:name w:val="Balloon Text"/>
    <w:basedOn w:val="1"/>
    <w:link w:val="13"/>
    <w:semiHidden/>
    <w:qFormat/>
    <w:uiPriority w:val="99"/>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7"/>
    <w:semiHidden/>
    <w:qFormat/>
    <w:locked/>
    <w:uiPriority w:val="99"/>
    <w:rPr>
      <w:rFonts w:ascii="Times New Roman" w:hAnsi="Times New Roman" w:eastAsia="宋体" w:cs="Times New Roman"/>
      <w:sz w:val="18"/>
      <w:szCs w:val="18"/>
    </w:rPr>
  </w:style>
  <w:style w:type="character" w:customStyle="1" w:styleId="14">
    <w:name w:val="页脚 Char"/>
    <w:link w:val="8"/>
    <w:qFormat/>
    <w:locked/>
    <w:uiPriority w:val="99"/>
    <w:rPr>
      <w:rFonts w:ascii="Times New Roman" w:hAnsi="Times New Roman" w:eastAsia="宋体" w:cs="Times New Roman"/>
      <w:sz w:val="18"/>
      <w:szCs w:val="18"/>
    </w:rPr>
  </w:style>
  <w:style w:type="character" w:customStyle="1" w:styleId="15">
    <w:name w:val="页眉 Char"/>
    <w:link w:val="9"/>
    <w:qFormat/>
    <w:locked/>
    <w:uiPriority w:val="99"/>
    <w:rPr>
      <w:rFonts w:ascii="Times New Roman" w:hAnsi="Times New Roman" w:eastAsia="宋体" w:cs="Times New Roman"/>
      <w:sz w:val="18"/>
      <w:szCs w:val="18"/>
    </w:rPr>
  </w:style>
  <w:style w:type="character" w:customStyle="1" w:styleId="16">
    <w:name w:val="Char Char1"/>
    <w:qFormat/>
    <w:locked/>
    <w:uiPriority w:val="99"/>
    <w:rPr>
      <w:rFonts w:ascii="宋体" w:hAnsi="Courier New" w:eastAsia="宋体"/>
      <w:kern w:val="2"/>
      <w:sz w:val="21"/>
      <w:lang w:val="en-US" w:eastAsia="zh-CN"/>
    </w:rPr>
  </w:style>
  <w:style w:type="character" w:customStyle="1" w:styleId="17">
    <w:name w:val="fontstyle01"/>
    <w:qFormat/>
    <w:uiPriority w:val="99"/>
    <w:rPr>
      <w:rFonts w:ascii="宋体" w:hAnsi="宋体" w:eastAsia="宋体" w:cs="Times New Roman"/>
      <w:color w:val="000000"/>
      <w:sz w:val="24"/>
      <w:szCs w:val="24"/>
    </w:rPr>
  </w:style>
  <w:style w:type="character" w:customStyle="1" w:styleId="18">
    <w:name w:val="fontstyle21"/>
    <w:qFormat/>
    <w:uiPriority w:val="99"/>
    <w:rPr>
      <w:rFonts w:ascii="Times New Roman" w:hAnsi="Times New Roman" w:cs="Times New Roman"/>
      <w:color w:val="000000"/>
      <w:sz w:val="24"/>
      <w:szCs w:val="24"/>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1061</Words>
  <Characters>6050</Characters>
  <Lines>50</Lines>
  <Paragraphs>14</Paragraphs>
  <TotalTime>21</TotalTime>
  <ScaleCrop>false</ScaleCrop>
  <LinksUpToDate>false</LinksUpToDate>
  <CharactersWithSpaces>7097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LIL</cp:lastModifiedBy>
  <dcterms:modified xsi:type="dcterms:W3CDTF">2020-05-25T11:23:06Z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