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0153-2020-EO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成都汉度科技有限公司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E:19.01.02,33.02.01</w:t>
            </w:r>
          </w:p>
          <w:p>
            <w:pPr>
              <w:spacing w:line="240" w:lineRule="exact"/>
              <w:jc w:val="center"/>
              <w:rPr>
                <w:b/>
                <w:color w:val="000000"/>
                <w:sz w:val="20"/>
                <w:szCs w:val="20"/>
              </w:rPr>
            </w:pPr>
            <w:r>
              <w:rPr>
                <w:b/>
                <w:color w:val="000000"/>
                <w:sz w:val="20"/>
                <w:szCs w:val="20"/>
              </w:rPr>
              <w:t>O:19.01.02,33.02.01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E:19.01.02,33.02.01</w:t>
            </w:r>
          </w:p>
          <w:p>
            <w:pPr>
              <w:spacing w:line="240" w:lineRule="exact"/>
              <w:jc w:val="center"/>
              <w:rPr>
                <w:b/>
                <w:color w:val="000000"/>
                <w:sz w:val="20"/>
                <w:szCs w:val="20"/>
              </w:rPr>
            </w:pPr>
            <w:r>
              <w:rPr>
                <w:b/>
                <w:color w:val="000000"/>
                <w:sz w:val="20"/>
                <w:szCs w:val="20"/>
              </w:rPr>
              <w:t>O:19.01.02,33.02.01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rPr>
        <w:t>ISO45001:2018</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受审核方管理手册第A/0版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成都汉度科技有限公司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中国(四川)自由贸易试验区成都高新区天府大道中段1388号1栋2层264号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成都市高新区天府大道北段1480号孵化园5号楼105、107</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朱晓寒</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028-85191842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代辉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李文超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E：计算机应用软件的开发及服务；电力系统智能输变信息、配电信息、用电信息采集用控制模块的设计、生产、销售（涉及资质许可除外）所涉及的环境管理体系活动</w:t>
            </w:r>
          </w:p>
          <w:p>
            <w:pPr>
              <w:spacing w:line="400" w:lineRule="exact"/>
              <w:rPr>
                <w:rFonts w:ascii="宋体" w:hAnsi="宋体"/>
                <w:b/>
                <w:color w:val="000000"/>
                <w:sz w:val="20"/>
                <w:szCs w:val="20"/>
              </w:rPr>
            </w:pPr>
            <w:r>
              <w:rPr>
                <w:rFonts w:ascii="宋体" w:hAnsi="宋体"/>
                <w:b/>
                <w:color w:val="000000"/>
                <w:sz w:val="20"/>
                <w:szCs w:val="20"/>
              </w:rPr>
              <w:t>O：计算机应用软件的开发及服务；电力系统智能输变信息、配电信息、用电信息采集用控制模块的设计、生产、销售（涉及资质许可除外）所涉及的职业健康安全管理活动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E：19.01.02;33.02.01</w:t>
            </w:r>
          </w:p>
          <w:p>
            <w:pPr>
              <w:spacing w:line="280" w:lineRule="exact"/>
              <w:rPr>
                <w:rFonts w:ascii="宋体"/>
                <w:b/>
                <w:color w:val="000000"/>
                <w:sz w:val="20"/>
                <w:szCs w:val="20"/>
              </w:rPr>
            </w:pPr>
            <w:r>
              <w:rPr>
                <w:rFonts w:ascii="宋体"/>
                <w:b/>
                <w:color w:val="000000"/>
                <w:sz w:val="20"/>
                <w:szCs w:val="20"/>
              </w:rPr>
              <w:t>O：19.01.02;33.02.01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w:t>
      </w:r>
      <w:r>
        <w:rPr>
          <w:rFonts w:hint="eastAsia" w:ascii="宋体" w:hAnsi="宋体"/>
          <w:szCs w:val="21"/>
        </w:rPr>
        <w:t>研发部</w:t>
      </w:r>
      <w:r>
        <w:rPr>
          <w:rFonts w:hint="eastAsia" w:ascii="宋体" w:hAnsi="宋体"/>
          <w:szCs w:val="21"/>
          <w:lang w:eastAsia="zh-CN"/>
        </w:rPr>
        <w:t>、</w:t>
      </w:r>
      <w:r>
        <w:rPr>
          <w:rFonts w:hint="eastAsia" w:ascii="宋体" w:hAnsi="宋体"/>
          <w:szCs w:val="21"/>
        </w:rPr>
        <w:t>市场部、。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eastAsia="宋体"/>
                <w:color w:val="000000"/>
                <w:szCs w:val="21"/>
                <w:lang w:eastAsia="zh-CN"/>
              </w:rPr>
            </w:pPr>
            <w:r>
              <w:rPr>
                <w:rFonts w:hint="eastAsia" w:ascii="宋体" w:hAnsi="宋体"/>
                <w:b/>
                <w:color w:val="000000"/>
                <w:sz w:val="20"/>
                <w:szCs w:val="20"/>
              </w:rPr>
              <w:t>产品：</w:t>
            </w:r>
            <w:r>
              <w:rPr>
                <w:rFonts w:hint="eastAsia" w:ascii="宋体" w:hAnsi="宋体"/>
                <w:szCs w:val="21"/>
              </w:rPr>
              <w:t>计算机应用软件的开发；电力系统智能输变信息、配电信息、用电信息采集用控制模块的设计、生产</w:t>
            </w:r>
            <w:r>
              <w:rPr>
                <w:rFonts w:hint="eastAsia" w:ascii="宋体" w:hAnsi="宋体"/>
                <w:szCs w:val="21"/>
                <w:lang w:eastAsia="zh-CN"/>
              </w:rPr>
              <w:t>。</w:t>
            </w:r>
          </w:p>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szCs w:val="21"/>
              </w:rPr>
              <w:t>计算机应用软件的开发服务；电力系统智能输变信息、配电信息、用电信息采集用控制模块的销售</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研发</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、财务部。</w:t>
            </w:r>
            <w:r>
              <w:rPr>
                <w:rFonts w:hint="eastAsia" w:ascii="宋体" w:hAnsi="宋体"/>
                <w:szCs w:val="21"/>
              </w:rPr>
              <w:t>。</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eastAsia="zh-CN"/>
              </w:rPr>
              <w:t>行政</w:t>
            </w:r>
            <w:r>
              <w:rPr>
                <w:rFonts w:hint="eastAsia" w:ascii="宋体" w:hAnsi="宋体"/>
                <w:szCs w:val="21"/>
              </w:rPr>
              <w:t>部</w:t>
            </w:r>
          </w:p>
          <w:p>
            <w:pPr>
              <w:tabs>
                <w:tab w:val="left" w:pos="360"/>
              </w:tabs>
              <w:spacing w:beforeLines="50"/>
              <w:ind w:left="357" w:hanging="357"/>
              <w:rPr>
                <w:rFonts w:ascii="宋体" w:hAnsi="宋体"/>
                <w:szCs w:val="21"/>
              </w:rPr>
            </w:pPr>
            <w:r>
              <w:rPr>
                <w:rFonts w:hint="eastAsia" w:ascii="宋体" w:hAnsi="宋体"/>
                <w:b/>
                <w:color w:val="000000"/>
                <w:sz w:val="20"/>
                <w:szCs w:val="20"/>
              </w:rPr>
              <w:t>质量管理部门：</w:t>
            </w:r>
            <w:r>
              <w:rPr>
                <w:rFonts w:hint="eastAsia" w:ascii="宋体" w:hAnsi="宋体"/>
                <w:szCs w:val="21"/>
              </w:rPr>
              <w:t>研发部</w:t>
            </w:r>
          </w:p>
          <w:p>
            <w:pPr>
              <w:tabs>
                <w:tab w:val="left" w:pos="360"/>
              </w:tabs>
              <w:spacing w:beforeLines="50"/>
              <w:ind w:left="357" w:hanging="357"/>
              <w:rPr>
                <w:rFonts w:ascii="宋体" w:hAnsi="宋体"/>
                <w:szCs w:val="21"/>
              </w:rPr>
            </w:pPr>
            <w:r>
              <w:rPr>
                <w:rFonts w:hint="eastAsia" w:ascii="宋体" w:hAnsi="宋体"/>
                <w:b/>
                <w:color w:val="000000"/>
                <w:sz w:val="20"/>
                <w:szCs w:val="20"/>
              </w:rPr>
              <w:t>环境管理主管部门：</w:t>
            </w:r>
            <w:r>
              <w:rPr>
                <w:rFonts w:hint="eastAsia" w:ascii="宋体" w:hAnsi="宋体"/>
                <w:szCs w:val="21"/>
                <w:lang w:eastAsia="zh-CN"/>
              </w:rPr>
              <w:t>行政</w:t>
            </w:r>
            <w:r>
              <w:rPr>
                <w:rFonts w:hint="eastAsia" w:ascii="宋体" w:hAnsi="宋体"/>
                <w:szCs w:val="21"/>
              </w:rPr>
              <w:t>部</w:t>
            </w:r>
          </w:p>
          <w:p>
            <w:pPr>
              <w:tabs>
                <w:tab w:val="left" w:pos="360"/>
              </w:tabs>
              <w:spacing w:beforeLines="50"/>
              <w:ind w:left="357" w:hanging="357"/>
              <w:rPr>
                <w:rFonts w:ascii="宋体" w:hAnsi="宋体"/>
                <w:szCs w:val="21"/>
              </w:rPr>
            </w:pPr>
            <w:r>
              <w:rPr>
                <w:rFonts w:hint="eastAsia" w:ascii="宋体" w:hAnsi="宋体"/>
                <w:b/>
                <w:color w:val="000000"/>
                <w:sz w:val="20"/>
                <w:szCs w:val="20"/>
              </w:rPr>
              <w:t>职业健康安全主管部门</w:t>
            </w:r>
            <w:r>
              <w:rPr>
                <w:rFonts w:hint="eastAsia" w:ascii="宋体" w:hAnsi="宋体"/>
                <w:szCs w:val="21"/>
              </w:rPr>
              <w:t>：</w:t>
            </w:r>
            <w:r>
              <w:rPr>
                <w:rFonts w:hint="eastAsia" w:ascii="宋体" w:hAnsi="宋体"/>
                <w:szCs w:val="21"/>
                <w:lang w:eastAsia="zh-CN"/>
              </w:rPr>
              <w:t>行政</w:t>
            </w:r>
            <w:r>
              <w:rPr>
                <w:rFonts w:hint="eastAsia" w:ascii="宋体" w:hAnsi="宋体"/>
                <w:szCs w:val="21"/>
              </w:rPr>
              <w:t>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rPr>
                <w:rFonts w:hint="eastAsia" w:ascii="宋体" w:eastAsia="宋体"/>
                <w:color w:val="000000"/>
                <w:sz w:val="20"/>
                <w:szCs w:val="20"/>
                <w:lang w:eastAsia="zh-CN"/>
              </w:rPr>
            </w:pPr>
            <w:r>
              <w:rPr>
                <w:rFonts w:hint="eastAsia" w:ascii="宋体" w:hAnsi="宋体"/>
                <w:color w:val="000000"/>
                <w:sz w:val="20"/>
                <w:szCs w:val="20"/>
              </w:rPr>
              <w:t>受审核方位于：</w:t>
            </w:r>
            <w:bookmarkStart w:id="24" w:name="生产地址"/>
            <w:r>
              <w:t>成都市高新区天府大道北段1480号孵化园5号楼105、107</w:t>
            </w:r>
            <w:bookmarkEnd w:id="24"/>
            <w:r>
              <w:rPr>
                <w:rFonts w:hint="eastAsia"/>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ascii="宋体"/>
                <w:color w:val="000000"/>
                <w:sz w:val="20"/>
                <w:szCs w:val="20"/>
              </w:rPr>
            </w:pPr>
            <w:r>
              <w:rPr>
                <w:rFonts w:hint="eastAsia" w:ascii="宋体"/>
                <w:color w:val="000000"/>
                <w:sz w:val="20"/>
                <w:szCs w:val="20"/>
              </w:rPr>
              <w:t>环境执行标准：</w:t>
            </w:r>
            <w:r>
              <w:rPr>
                <w:rFonts w:hint="eastAsia" w:ascii="宋体" w:hAnsi="宋体" w:cs="宋体"/>
                <w:color w:val="000000"/>
                <w:kern w:val="0"/>
                <w:szCs w:val="21"/>
              </w:rPr>
              <w:t>《污水排入城镇下水道水质标准》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表1中B级标准</w:t>
            </w:r>
            <w:r>
              <w:rPr>
                <w:rFonts w:hint="eastAsia" w:ascii="宋体" w:hAnsi="宋体"/>
                <w:szCs w:val="21"/>
              </w:rPr>
              <w:t>；</w:t>
            </w:r>
            <w:r>
              <w:rPr>
                <w:rFonts w:hint="eastAsia" w:ascii="宋体" w:hAnsi="宋体"/>
                <w:szCs w:val="21"/>
              </w:rPr>
              <w:t>《工业企业厂界环境噪声排放标准》（GB12348-2008）3类标准。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szCs w:val="21"/>
                <w:highlight w:val="none"/>
              </w:rPr>
            </w:pPr>
            <w:r>
              <w:rPr>
                <w:rFonts w:hint="eastAsia"/>
                <w:szCs w:val="21"/>
                <w:highlight w:val="none"/>
              </w:rPr>
              <w:t>软件应用开发流程图：</w:t>
            </w:r>
          </w:p>
          <w:p>
            <w:pPr>
              <w:spacing w:line="360" w:lineRule="auto"/>
              <w:rPr>
                <w:rFonts w:hint="eastAsia"/>
                <w:szCs w:val="21"/>
                <w:highlight w:val="none"/>
                <w:lang w:val="en-US" w:eastAsia="zh-CN"/>
              </w:rPr>
            </w:pPr>
            <w:r>
              <w:rPr>
                <w:rFonts w:hint="eastAsia"/>
                <w:szCs w:val="21"/>
                <w:highlight w:val="none"/>
                <w:lang w:eastAsia="zh-CN"/>
              </w:rPr>
              <w:t>需求分析</w:t>
            </w:r>
            <w:r>
              <w:rPr>
                <w:rFonts w:hint="eastAsia"/>
                <w:szCs w:val="21"/>
                <w:highlight w:val="none"/>
                <w:lang w:val="en-US" w:eastAsia="zh-CN"/>
              </w:rPr>
              <w:t>-概要设计-详细设计-编码-测试-软件交付-验收-维护。</w:t>
            </w:r>
          </w:p>
          <w:p>
            <w:pPr>
              <w:rPr>
                <w:rFonts w:hint="eastAsia" w:ascii="宋体" w:hAnsi="宋体"/>
                <w:szCs w:val="21"/>
                <w:highlight w:val="none"/>
              </w:rPr>
            </w:pPr>
            <w:r>
              <w:rPr>
                <w:rFonts w:hint="eastAsia"/>
                <w:szCs w:val="21"/>
                <w:highlight w:val="none"/>
                <w:lang w:val="en-US" w:eastAsia="zh-CN"/>
              </w:rPr>
              <w:t>设计</w:t>
            </w:r>
            <w:r>
              <w:rPr>
                <w:rFonts w:hint="eastAsia" w:ascii="宋体" w:hAnsi="宋体"/>
                <w:szCs w:val="21"/>
                <w:highlight w:val="none"/>
              </w:rPr>
              <w:t>为关键过程。</w:t>
            </w:r>
          </w:p>
          <w:p>
            <w:pPr>
              <w:rPr>
                <w:rFonts w:hint="eastAsia" w:ascii="宋体" w:hAnsi="宋体"/>
                <w:szCs w:val="21"/>
                <w:highlight w:val="none"/>
              </w:rPr>
            </w:pPr>
          </w:p>
          <w:p>
            <w:pPr>
              <w:tabs>
                <w:tab w:val="left" w:pos="195"/>
                <w:tab w:val="center" w:pos="4620"/>
              </w:tabs>
              <w:spacing w:line="38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生产流程图：</w:t>
            </w:r>
          </w:p>
          <w:p>
            <w:pPr>
              <w:tabs>
                <w:tab w:val="left" w:pos="195"/>
                <w:tab w:val="center" w:pos="4620"/>
              </w:tabs>
              <w:spacing w:line="380" w:lineRule="exact"/>
              <w:ind w:firstLine="210" w:firstLineChars="1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根据市场需求或客户要求-----下达开发任务书----编制开发计划----开发输入----开发评审----开发验证----开发输出----开发确认----备料---组装---检验----交付。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组装、检验</w:t>
            </w:r>
            <w:r>
              <w:rPr>
                <w:rFonts w:hint="eastAsia" w:asciiTheme="minorEastAsia" w:hAnsiTheme="minorEastAsia" w:eastAsiaTheme="minorEastAsia" w:cstheme="minorEastAsia"/>
                <w:sz w:val="21"/>
                <w:szCs w:val="21"/>
                <w:highlight w:val="none"/>
              </w:rPr>
              <w:t>为关键过程。</w:t>
            </w: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销售流程图:</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投标/业务洽谈→签订合同→采购→物资检验→交付。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销售为关键过程。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宋体"/>
                <w:szCs w:val="21"/>
                <w:lang w:val="en-US" w:eastAsia="zh-CN"/>
              </w:rPr>
              <w:t>贴片机、稳压电源、热风枪、</w:t>
            </w:r>
            <w:r>
              <w:rPr>
                <w:rFonts w:hint="eastAsia" w:ascii="宋体" w:hAnsi="宋体" w:eastAsia="宋体" w:cs="宋体"/>
                <w:szCs w:val="21"/>
              </w:rPr>
              <w:t>电脑及办公设备（</w:t>
            </w:r>
            <w:r>
              <w:rPr>
                <w:rFonts w:hint="eastAsia" w:ascii="宋体" w:hAnsi="宋体" w:cs="宋体"/>
                <w:szCs w:val="21"/>
              </w:rPr>
              <w:t>含传真机、打印机等）和空调等</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zCs w:val="21"/>
                <w:highlight w:val="none"/>
                <w:lang w:eastAsia="zh-CN"/>
              </w:rPr>
              <w:t>万用表</w:t>
            </w:r>
            <w:r>
              <w:rPr>
                <w:rFonts w:hint="eastAsia" w:ascii="宋体"/>
                <w:color w:val="000000"/>
                <w:sz w:val="20"/>
                <w:szCs w:val="20"/>
                <w:highlight w:val="none"/>
              </w:rPr>
              <w:t>、</w:t>
            </w:r>
            <w:r>
              <w:rPr>
                <w:rFonts w:hint="eastAsia" w:ascii="宋体"/>
                <w:color w:val="000000"/>
                <w:sz w:val="20"/>
                <w:szCs w:val="20"/>
                <w:highlight w:val="none"/>
                <w:lang w:eastAsia="zh-CN"/>
              </w:rPr>
              <w:t>示波器</w:t>
            </w:r>
            <w:r>
              <w:rPr>
                <w:rFonts w:hint="eastAsia" w:ascii="宋体"/>
                <w:color w:val="000000"/>
                <w:sz w:val="20"/>
                <w:szCs w:val="20"/>
                <w:highlight w:val="none"/>
              </w:rPr>
              <w:t>、</w:t>
            </w:r>
            <w:r>
              <w:rPr>
                <w:rFonts w:hint="eastAsia" w:ascii="宋体" w:hAnsi="宋体"/>
                <w:color w:val="000000"/>
                <w:szCs w:val="21"/>
                <w:highlight w:val="none"/>
                <w:lang w:eastAsia="zh-CN"/>
              </w:rPr>
              <w:t>游标卡尺</w:t>
            </w:r>
            <w:r>
              <w:rPr>
                <w:rFonts w:hint="eastAsia" w:ascii="宋体"/>
                <w:color w:val="000000"/>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tabs>
                <w:tab w:val="center" w:pos="3169"/>
              </w:tabs>
              <w:spacing w:line="400" w:lineRule="exact"/>
              <w:ind w:firstLine="0" w:firstLineChars="0"/>
              <w:jc w:val="left"/>
              <w:rPr>
                <w:rFonts w:ascii="宋体"/>
                <w:color w:val="000000"/>
                <w:sz w:val="20"/>
                <w:szCs w:val="20"/>
                <w:highlight w:val="none"/>
              </w:rPr>
            </w:pPr>
            <w:r>
              <w:rPr>
                <w:rFonts w:hint="eastAsia" w:ascii="宋体"/>
                <w:color w:val="000000"/>
                <w:sz w:val="20"/>
                <w:szCs w:val="20"/>
                <w:highlight w:val="none"/>
              </w:rPr>
              <w:t>重要环境因素有：</w:t>
            </w:r>
            <w:r>
              <w:rPr>
                <w:rFonts w:hint="eastAsia" w:ascii="宋体" w:hAnsi="宋体" w:cs="宋体"/>
                <w:szCs w:val="21"/>
                <w:highlight w:val="none"/>
              </w:rPr>
              <w:t>1）潜在火灾；2）固废的排放；3）噪声的排放。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应急预案有：消防应急预案。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1"/>
              </w:numPr>
              <w:tabs>
                <w:tab w:val="left" w:pos="1080"/>
              </w:tabs>
              <w:spacing w:line="400" w:lineRule="exact"/>
              <w:rPr>
                <w:rFonts w:ascii="宋体"/>
                <w:color w:val="000000"/>
                <w:sz w:val="20"/>
                <w:szCs w:val="20"/>
              </w:rPr>
            </w:pPr>
            <w:r>
              <w:rPr>
                <w:rFonts w:hint="eastAsia" w:ascii="宋体"/>
                <w:color w:val="000000"/>
                <w:sz w:val="20"/>
                <w:szCs w:val="20"/>
              </w:rPr>
              <w:t>不可接受风险有：</w:t>
            </w:r>
            <w:r>
              <w:rPr>
                <w:rFonts w:hint="eastAsia"/>
                <w:szCs w:val="21"/>
                <w:highlight w:val="none"/>
              </w:rPr>
              <w:t>火灾；</w:t>
            </w:r>
            <w:r>
              <w:rPr>
                <w:rFonts w:hint="eastAsia" w:eastAsia="宋体"/>
                <w:szCs w:val="21"/>
                <w:highlight w:val="none"/>
                <w:lang w:val="en-US" w:eastAsia="zh-CN"/>
              </w:rPr>
              <w:t>2）触电、灼伤；</w:t>
            </w:r>
            <w:r>
              <w:rPr>
                <w:rFonts w:hint="eastAsia"/>
                <w:szCs w:val="21"/>
                <w:highlight w:val="none"/>
                <w:lang w:val="en-US" w:eastAsia="zh-CN"/>
              </w:rPr>
              <w:t>3）意外伤害（机械伤害、碰伤、中暑）</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38</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研发</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、财务部。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生产</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研发</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、财务部。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r>
              <w:rPr>
                <w:rFonts w:hint="eastAsia" w:ascii="宋体" w:hAnsi="宋体"/>
                <w:b/>
                <w:color w:val="000000"/>
                <w:sz w:val="20"/>
                <w:szCs w:val="20"/>
                <w:lang w:eastAsia="zh-CN"/>
              </w:rPr>
              <w:t>生产</w:t>
            </w:r>
            <w:r>
              <w:rPr>
                <w:rFonts w:hint="eastAsia" w:ascii="宋体" w:hAnsi="宋体"/>
                <w:b/>
                <w:color w:val="000000"/>
                <w:sz w:val="20"/>
                <w:szCs w:val="20"/>
              </w:rPr>
              <w:t>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eastAsia="zh-CN"/>
              </w:rPr>
              <w:t>李文超</w:t>
            </w:r>
            <w:r>
              <w:rPr>
                <w:rFonts w:hint="eastAsia"/>
                <w:szCs w:val="21"/>
              </w:rPr>
              <w:t>（组长）、</w:t>
            </w:r>
            <w:r>
              <w:rPr>
                <w:rFonts w:hint="eastAsia"/>
                <w:szCs w:val="21"/>
                <w:lang w:eastAsia="zh-CN"/>
              </w:rPr>
              <w:t>朱晓寒</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ISO45001:2018标准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rPr>
              <w:t>ISO45001:2018标准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27</w:t>
            </w:r>
            <w:bookmarkStart w:id="25" w:name="_GoBack"/>
            <w:bookmarkEnd w:id="25"/>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hint="eastAsia" w:ascii="宋体" w:hAnsi="宋体" w:eastAsia="宋体" w:cs="Times New Roman"/>
          <w:b/>
          <w:color w:val="000000"/>
          <w:sz w:val="20"/>
          <w:szCs w:val="20"/>
          <w:u w:val="single"/>
        </w:rPr>
      </w:pPr>
      <w:r>
        <w:rPr>
          <w:rFonts w:hint="eastAsia" w:ascii="宋体" w:hAnsi="宋体"/>
          <w:b/>
          <w:color w:val="000000"/>
          <w:sz w:val="20"/>
          <w:szCs w:val="20"/>
        </w:rPr>
        <w:t xml:space="preserve">EMS: </w:t>
      </w:r>
      <w:r>
        <w:rPr>
          <w:rFonts w:hint="eastAsia" w:ascii="宋体" w:hAnsi="宋体" w:eastAsia="宋体" w:cs="Times New Roman"/>
          <w:b/>
          <w:color w:val="000000"/>
          <w:sz w:val="20"/>
          <w:szCs w:val="20"/>
          <w:u w:val="single"/>
        </w:rPr>
        <w:t>计算机应用软件的开发及服务；电力系统智能输变信息、配电信息、用电信息采集用控制模块的设计、生产、销售（涉及资质许可除外）所涉及的环境管理体系活动。</w:t>
      </w:r>
    </w:p>
    <w:p>
      <w:pPr>
        <w:spacing w:line="300" w:lineRule="auto"/>
        <w:ind w:firstLine="201" w:firstLineChars="100"/>
        <w:rPr>
          <w:rFonts w:hint="eastAsia" w:ascii="宋体" w:hAnsi="宋体" w:eastAsia="宋体" w:cs="Times New Roman"/>
          <w:b/>
          <w:color w:val="000000"/>
          <w:sz w:val="20"/>
          <w:szCs w:val="20"/>
          <w:u w:val="single"/>
        </w:rPr>
      </w:pPr>
      <w:r>
        <w:rPr>
          <w:rFonts w:hint="eastAsia" w:ascii="宋体" w:hAnsi="宋体"/>
          <w:b/>
          <w:color w:val="000000"/>
          <w:sz w:val="20"/>
          <w:szCs w:val="20"/>
        </w:rPr>
        <w:t xml:space="preserve">OHSMS: </w:t>
      </w:r>
      <w:r>
        <w:rPr>
          <w:rFonts w:hint="eastAsia" w:ascii="宋体" w:hAnsi="宋体" w:eastAsia="宋体" w:cs="Times New Roman"/>
          <w:b/>
          <w:color w:val="000000"/>
          <w:sz w:val="20"/>
          <w:szCs w:val="20"/>
          <w:u w:val="single"/>
        </w:rPr>
        <w:t>计算机应用软件的开发及服务；电力系统智能输变信息、配电信息、用电信息采集用控制模块的设计、生产、销售（涉及资质许可除外）所涉及的职业健康安全管理活动。</w:t>
      </w:r>
    </w:p>
    <w:p>
      <w:pPr>
        <w:spacing w:line="300" w:lineRule="auto"/>
        <w:ind w:firstLine="201" w:firstLineChars="100"/>
        <w:rPr>
          <w:rFonts w:hint="eastAsia" w:ascii="宋体" w:hAnsi="宋体" w:eastAsia="宋体" w:cs="Times New Roman"/>
          <w:b/>
          <w:color w:val="000000"/>
          <w:sz w:val="20"/>
          <w:szCs w:val="20"/>
          <w:u w:val="single"/>
        </w:rPr>
      </w:pPr>
    </w:p>
    <w:p>
      <w:pPr>
        <w:spacing w:beforeLines="50" w:afterLines="20" w:line="360" w:lineRule="exact"/>
        <w:ind w:firstLine="211" w:firstLineChars="100"/>
        <w:rPr>
          <w:rFonts w:ascii="宋体"/>
          <w:b/>
          <w:bCs/>
          <w:color w:val="000000"/>
          <w:sz w:val="26"/>
          <w:szCs w:val="26"/>
        </w:rPr>
      </w:pPr>
      <w:r>
        <w:rPr>
          <w:rFonts w:ascii="宋体" w:hAnsi="宋体"/>
          <w:b/>
          <w:color w:val="000000"/>
        </w:rPr>
        <w:drawing>
          <wp:anchor distT="0" distB="0" distL="0" distR="0" simplePos="0" relativeHeight="251662336" behindDoc="0" locked="0" layoutInCell="1" allowOverlap="1">
            <wp:simplePos x="0" y="0"/>
            <wp:positionH relativeFrom="column">
              <wp:posOffset>1738630</wp:posOffset>
            </wp:positionH>
            <wp:positionV relativeFrom="paragraph">
              <wp:posOffset>317500</wp:posOffset>
            </wp:positionV>
            <wp:extent cx="599440" cy="373380"/>
            <wp:effectExtent l="0" t="0" r="10160" b="7620"/>
            <wp:wrapNone/>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文档 2020-01-09 10"/>
                    <pic:cNvPicPr>
                      <a:picLocks noChangeAspect="1" noChangeArrowheads="1"/>
                    </pic:cNvPicPr>
                  </pic:nvPicPr>
                  <pic:blipFill>
                    <a:blip r:embed="rId6" cstate="print"/>
                    <a:srcRect/>
                    <a:stretch>
                      <a:fillRect/>
                    </a:stretch>
                  </pic:blipFill>
                  <pic:spPr>
                    <a:xfrm>
                      <a:off x="0" y="0"/>
                      <a:ext cx="599440" cy="3733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1877060</wp:posOffset>
            </wp:positionH>
            <wp:positionV relativeFrom="paragraph">
              <wp:posOffset>28575</wp:posOffset>
            </wp:positionV>
            <wp:extent cx="349250" cy="361950"/>
            <wp:effectExtent l="0" t="0" r="1270" b="381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7" cstate="print"/>
                    <a:srcRect/>
                    <a:stretch>
                      <a:fillRect/>
                    </a:stretch>
                  </pic:blipFill>
                  <pic:spPr>
                    <a:xfrm>
                      <a:off x="0" y="0"/>
                      <a:ext cx="349250" cy="36195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w:t>
      </w:r>
      <w:r>
        <w:rPr>
          <w:rFonts w:hint="eastAsia" w:ascii="宋体" w:hAnsi="宋体"/>
          <w:b/>
          <w:color w:val="000000"/>
        </w:rPr>
        <w:t>2020.</w:t>
      </w:r>
      <w:r>
        <w:rPr>
          <w:rFonts w:hint="eastAsia" w:ascii="宋体" w:hAnsi="宋体"/>
          <w:b/>
          <w:color w:val="000000"/>
          <w:lang w:val="en-US" w:eastAsia="zh-CN"/>
        </w:rPr>
        <w:t>4</w:t>
      </w:r>
      <w:r>
        <w:rPr>
          <w:rFonts w:hint="eastAsia" w:ascii="宋体" w:hAnsi="宋体"/>
          <w:b/>
          <w:color w:val="000000"/>
        </w:rPr>
        <w:t>.2</w:t>
      </w:r>
      <w:r>
        <w:rPr>
          <w:rFonts w:hint="eastAsia" w:ascii="宋体" w:hAnsi="宋体"/>
          <w:b/>
          <w:color w:val="000000"/>
          <w:lang w:val="en-US" w:eastAsia="zh-CN"/>
        </w:rPr>
        <w:t>8</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成都汉度科技有限公司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sz w:val="22"/>
                <w:szCs w:val="22"/>
              </w:rPr>
              <w:drawing>
                <wp:anchor distT="0" distB="0" distL="0" distR="0" simplePos="0" relativeHeight="251663360" behindDoc="0" locked="0" layoutInCell="1" allowOverlap="1">
                  <wp:simplePos x="0" y="0"/>
                  <wp:positionH relativeFrom="column">
                    <wp:posOffset>520065</wp:posOffset>
                  </wp:positionH>
                  <wp:positionV relativeFrom="paragraph">
                    <wp:posOffset>158750</wp:posOffset>
                  </wp:positionV>
                  <wp:extent cx="617855" cy="384810"/>
                  <wp:effectExtent l="0" t="0" r="6985" b="11430"/>
                  <wp:wrapNone/>
                  <wp:docPr id="4"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文档 2020-01-09 10"/>
                          <pic:cNvPicPr>
                            <a:picLocks noChangeAspect="1" noChangeArrowheads="1"/>
                          </pic:cNvPicPr>
                        </pic:nvPicPr>
                        <pic:blipFill>
                          <a:blip r:embed="rId6" cstate="print"/>
                          <a:srcRect/>
                          <a:stretch>
                            <a:fillRect/>
                          </a:stretch>
                        </pic:blipFill>
                        <pic:spPr>
                          <a:xfrm>
                            <a:off x="0" y="0"/>
                            <a:ext cx="617855" cy="38481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日期：2020 年 </w:t>
            </w:r>
            <w:r>
              <w:rPr>
                <w:rFonts w:hint="eastAsia"/>
                <w:b/>
                <w:color w:val="000000"/>
                <w:sz w:val="22"/>
                <w:szCs w:val="22"/>
                <w:lang w:val="en-US" w:eastAsia="zh-CN"/>
              </w:rPr>
              <w:t>4</w:t>
            </w:r>
            <w:r>
              <w:rPr>
                <w:rFonts w:hint="eastAsia"/>
                <w:b/>
                <w:color w:val="000000"/>
                <w:sz w:val="22"/>
                <w:szCs w:val="22"/>
              </w:rPr>
              <w:t xml:space="preserve"> 月 2</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日期：2020年 </w:t>
            </w:r>
            <w:r>
              <w:rPr>
                <w:rFonts w:hint="eastAsia"/>
                <w:b/>
                <w:color w:val="000000"/>
                <w:sz w:val="22"/>
                <w:szCs w:val="22"/>
                <w:lang w:val="en-US" w:eastAsia="zh-CN"/>
              </w:rPr>
              <w:t>4</w:t>
            </w:r>
            <w:r>
              <w:rPr>
                <w:rFonts w:hint="eastAsia"/>
                <w:b/>
                <w:color w:val="000000"/>
                <w:sz w:val="22"/>
                <w:szCs w:val="22"/>
              </w:rPr>
              <w:t>月 2</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推荐意见：■可进行二阶段审核□需再次安排一阶段审核□不进入二阶段审核</w:t>
            </w:r>
          </w:p>
          <w:p>
            <w:pPr>
              <w:tabs>
                <w:tab w:val="left" w:pos="8740"/>
              </w:tabs>
              <w:spacing w:line="360" w:lineRule="exact"/>
              <w:rPr>
                <w:b/>
                <w:color w:val="000000"/>
                <w:sz w:val="22"/>
                <w:szCs w:val="22"/>
              </w:rPr>
            </w:pPr>
            <w:r>
              <w:rPr>
                <w:sz w:val="22"/>
                <w:szCs w:val="22"/>
              </w:rPr>
              <w:drawing>
                <wp:anchor distT="0" distB="0" distL="0" distR="0" simplePos="0" relativeHeight="251669504" behindDoc="0" locked="0" layoutInCell="1" allowOverlap="1">
                  <wp:simplePos x="0" y="0"/>
                  <wp:positionH relativeFrom="column">
                    <wp:posOffset>586740</wp:posOffset>
                  </wp:positionH>
                  <wp:positionV relativeFrom="paragraph">
                    <wp:posOffset>50800</wp:posOffset>
                  </wp:positionV>
                  <wp:extent cx="575310" cy="358140"/>
                  <wp:effectExtent l="0" t="0" r="3810" b="7620"/>
                  <wp:wrapNone/>
                  <wp:docPr id="5"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文档 2020-01-09 10"/>
                          <pic:cNvPicPr>
                            <a:picLocks noChangeAspect="1" noChangeArrowheads="1"/>
                          </pic:cNvPicPr>
                        </pic:nvPicPr>
                        <pic:blipFill>
                          <a:blip r:embed="rId6" cstate="print"/>
                          <a:srcRect/>
                          <a:stretch>
                            <a:fillRect/>
                          </a:stretch>
                        </pic:blipFill>
                        <pic:spPr>
                          <a:xfrm>
                            <a:off x="0" y="0"/>
                            <a:ext cx="575310" cy="358140"/>
                          </a:xfrm>
                          <a:prstGeom prst="rect">
                            <a:avLst/>
                          </a:prstGeom>
                          <a:noFill/>
                          <a:ln w="9525">
                            <a:noFill/>
                            <a:miter lim="800000"/>
                            <a:headEnd/>
                            <a:tailEnd/>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 xml:space="preserve"> 日期：2020 年 </w:t>
            </w:r>
            <w:r>
              <w:rPr>
                <w:rFonts w:hint="eastAsia"/>
                <w:b/>
                <w:color w:val="000000"/>
                <w:sz w:val="22"/>
                <w:szCs w:val="22"/>
                <w:lang w:val="en-US" w:eastAsia="zh-CN"/>
              </w:rPr>
              <w:t>4</w:t>
            </w:r>
            <w:r>
              <w:rPr>
                <w:rFonts w:hint="eastAsia"/>
                <w:b/>
                <w:color w:val="000000"/>
                <w:sz w:val="22"/>
                <w:szCs w:val="22"/>
              </w:rPr>
              <w:t xml:space="preserve"> 月 2</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888DF"/>
    <w:multiLevelType w:val="singleLevel"/>
    <w:tmpl w:val="AE0888DF"/>
    <w:lvl w:ilvl="0" w:tentative="0">
      <w:start w:val="1"/>
      <w:numFmt w:val="decimal"/>
      <w:suff w:val="nothing"/>
      <w:lvlText w:val="%1）"/>
      <w:lvlJc w:val="left"/>
    </w:lvl>
  </w:abstractNum>
  <w:abstractNum w:abstractNumId="1">
    <w:nsid w:val="E0CE3566"/>
    <w:multiLevelType w:val="singleLevel"/>
    <w:tmpl w:val="E0CE356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4B3EDF"/>
    <w:rsid w:val="57E273C1"/>
    <w:rsid w:val="76CF0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2020-04-27T03:05:01Z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