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color w:val="000000"/>
                <w:szCs w:val="21"/>
                <w:lang w:val="en-US" w:eastAsia="zh-CN"/>
              </w:rPr>
            </w:pPr>
            <w:r>
              <w:rPr>
                <w:rFonts w:hint="eastAsia"/>
                <w:color w:val="000000"/>
                <w:szCs w:val="21"/>
              </w:rPr>
              <w:t>受审核部门：</w:t>
            </w:r>
            <w:bookmarkStart w:id="0" w:name="组织名称"/>
            <w:r>
              <w:rPr>
                <w:rFonts w:hint="eastAsia"/>
                <w:color w:val="000000"/>
                <w:szCs w:val="21"/>
              </w:rPr>
              <w:t>西安丹拿声学技术有限公司</w:t>
            </w:r>
            <w:bookmarkEnd w:id="0"/>
            <w:r>
              <w:rPr>
                <w:rFonts w:hint="eastAsia"/>
                <w:color w:val="000000"/>
                <w:szCs w:val="21"/>
                <w:lang w:val="en-US" w:eastAsia="zh-CN"/>
              </w:rPr>
              <w:t xml:space="preserve">      </w:t>
            </w:r>
          </w:p>
          <w:p>
            <w:pPr>
              <w:rPr>
                <w:sz w:val="24"/>
                <w:szCs w:val="24"/>
              </w:rPr>
            </w:pPr>
            <w:r>
              <w:rPr>
                <w:rFonts w:hint="eastAsia"/>
                <w:color w:val="000000"/>
                <w:szCs w:val="21"/>
              </w:rPr>
              <w:t>主管领导/陪同人员</w:t>
            </w:r>
            <w:r>
              <w:rPr>
                <w:rFonts w:hint="eastAsia"/>
                <w:color w:val="000000"/>
                <w:szCs w:val="21"/>
                <w:lang w:val="en-US" w:eastAsia="zh-CN"/>
              </w:rPr>
              <w:t xml:space="preserve">, 总经理 石国强  </w:t>
            </w:r>
            <w:r>
              <w:rPr>
                <w:rFonts w:hint="eastAsia"/>
                <w:color w:val="000000"/>
                <w:szCs w:val="21"/>
              </w:rPr>
              <w:t>陪同人员</w:t>
            </w:r>
            <w:r>
              <w:rPr>
                <w:rFonts w:hint="eastAsia"/>
                <w:color w:val="000000"/>
                <w:szCs w:val="21"/>
                <w:lang w:eastAsia="zh-CN"/>
              </w:rPr>
              <w:t>：办公室/管代</w:t>
            </w:r>
            <w:r>
              <w:rPr>
                <w:rFonts w:hint="eastAsia"/>
                <w:color w:val="000000"/>
                <w:szCs w:val="21"/>
                <w:lang w:val="en-US" w:eastAsia="zh-CN"/>
              </w:rPr>
              <w:t xml:space="preserve">  </w:t>
            </w:r>
            <w:r>
              <w:rPr>
                <w:rFonts w:hint="eastAsia"/>
                <w:color w:val="000000"/>
                <w:szCs w:val="21"/>
                <w:lang w:eastAsia="zh-CN"/>
              </w:rPr>
              <w:t>刘芳</w:t>
            </w:r>
            <w:r>
              <w:rPr>
                <w:rFonts w:hint="eastAsia"/>
                <w:color w:val="000000"/>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color w:val="000000"/>
                <w:szCs w:val="21"/>
                <w:lang w:val="en-US" w:eastAsia="zh-CN"/>
              </w:rPr>
              <w:t>审核员：李俐、郭力   审核时间：2020年5月1日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color w:val="000000"/>
                <w:szCs w:val="21"/>
                <w:lang w:val="en-US" w:eastAsia="zh-CN"/>
              </w:rPr>
            </w:pPr>
            <w:r>
              <w:rPr>
                <w:rFonts w:hint="eastAsia"/>
                <w:color w:val="000000"/>
                <w:szCs w:val="21"/>
                <w:lang w:val="en-US" w:eastAsia="zh-CN"/>
              </w:rPr>
              <w:t>审核条款：■ GB/T 19001:2016 idt ISO 9001:2015标准   不适用条款:无</w:t>
            </w:r>
          </w:p>
          <w:p>
            <w:pPr>
              <w:spacing w:before="120"/>
              <w:rPr>
                <w:rFonts w:hint="eastAsia" w:ascii="楷体" w:hAnsi="楷体" w:eastAsia="楷体" w:cs="楷体"/>
                <w:sz w:val="24"/>
                <w:szCs w:val="24"/>
              </w:rPr>
            </w:pPr>
            <w:r>
              <w:rPr>
                <w:rFonts w:hint="eastAsia"/>
                <w:color w:val="000000"/>
                <w:szCs w:val="21"/>
                <w:lang w:val="en-US" w:eastAsia="zh-CN"/>
              </w:rPr>
              <w:t>■客户管理体系文件   ■适用的法律法规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hint="eastAsia"/>
                <w:szCs w:val="21"/>
              </w:rPr>
            </w:pPr>
            <w:r>
              <w:rPr>
                <w:rFonts w:hint="eastAsia"/>
                <w:szCs w:val="21"/>
              </w:rPr>
              <w:t>企业简介</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组织机构及场所、资质</w:t>
            </w: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400" w:lineRule="exact"/>
              <w:rPr>
                <w:rFonts w:hint="eastAsia" w:eastAsia="宋体"/>
                <w:szCs w:val="21"/>
                <w:lang w:eastAsia="zh-CN"/>
              </w:rPr>
            </w:pPr>
            <w:r>
              <w:rPr>
                <w:rFonts w:hint="eastAsia"/>
                <w:szCs w:val="21"/>
              </w:rPr>
              <w:t>询问</w:t>
            </w:r>
            <w:r>
              <w:rPr>
                <w:rFonts w:hint="eastAsia"/>
                <w:szCs w:val="21"/>
                <w:lang w:eastAsia="zh-CN"/>
              </w:rPr>
              <w:t>认证范围、</w:t>
            </w:r>
            <w:r>
              <w:rPr>
                <w:rFonts w:hint="eastAsia"/>
                <w:szCs w:val="21"/>
              </w:rPr>
              <w:t>主要设备</w:t>
            </w:r>
            <w:r>
              <w:rPr>
                <w:rFonts w:hint="eastAsia"/>
                <w:szCs w:val="21"/>
                <w:lang w:eastAsia="zh-CN"/>
              </w:rPr>
              <w:t>等情况</w:t>
            </w:r>
          </w:p>
          <w:p/>
        </w:tc>
        <w:tc>
          <w:tcPr>
            <w:tcW w:w="960" w:type="dxa"/>
          </w:tcPr>
          <w:p/>
        </w:tc>
        <w:tc>
          <w:tcPr>
            <w:tcW w:w="10004" w:type="dxa"/>
          </w:tcPr>
          <w:p>
            <w:pPr>
              <w:spacing w:line="400" w:lineRule="exact"/>
              <w:ind w:firstLine="420" w:firstLineChars="200"/>
              <w:rPr>
                <w:rFonts w:hint="eastAsia"/>
                <w:szCs w:val="21"/>
                <w:lang w:eastAsia="zh-CN"/>
              </w:rPr>
            </w:pPr>
            <w:r>
              <w:rPr>
                <w:rFonts w:hint="eastAsia"/>
                <w:szCs w:val="21"/>
                <w:lang w:eastAsia="zh-CN"/>
              </w:rPr>
              <w:t>丹拿声学技术有限公司</w:t>
            </w:r>
            <w:r>
              <w:rPr>
                <w:rFonts w:hint="eastAsia"/>
                <w:szCs w:val="21"/>
                <w:lang w:val="en-US" w:eastAsia="zh-CN"/>
              </w:rPr>
              <w:t>主营</w:t>
            </w:r>
            <w:r>
              <w:rPr>
                <w:rFonts w:hint="eastAsia"/>
                <w:szCs w:val="21"/>
                <w:lang w:eastAsia="zh-CN"/>
              </w:rPr>
              <w:t>：剧场、影院、体育场馆、酒店、会议中心、展览馆、博物馆、交通枢纽、指挥中心、学校、医院等场所提供专业的声学设计、音视频系统、舞台灯光系统、智能会议系统等高端应用解决方案。</w:t>
            </w:r>
            <w:r>
              <w:rPr>
                <w:rFonts w:hint="eastAsia"/>
                <w:szCs w:val="21"/>
                <w:lang w:val="en-US" w:eastAsia="zh-CN"/>
              </w:rPr>
              <w:t>企业</w:t>
            </w:r>
            <w:r>
              <w:rPr>
                <w:rFonts w:hint="eastAsia"/>
                <w:szCs w:val="21"/>
                <w:lang w:eastAsia="zh-CN"/>
              </w:rPr>
              <w:t>核心技术：提供专业声学设计、音视频系统、舞台灯光系统、建筑声学、智能会议系统综合集成解决方案，公司主要人员均在专业音视频灯光行业从业超过十年，在行业应用上拥有丰富经验。</w:t>
            </w:r>
          </w:p>
          <w:p>
            <w:pPr>
              <w:spacing w:line="400" w:lineRule="exact"/>
              <w:ind w:firstLine="420" w:firstLineChars="200"/>
              <w:rPr>
                <w:rFonts w:hint="default"/>
                <w:szCs w:val="21"/>
                <w:lang w:val="en-US" w:eastAsia="zh-CN"/>
              </w:rPr>
            </w:pPr>
            <w:r>
              <w:rPr>
                <w:rFonts w:hint="eastAsia"/>
                <w:szCs w:val="21"/>
                <w:lang w:val="en-US" w:eastAsia="zh-CN"/>
              </w:rPr>
              <w:t>提供</w:t>
            </w:r>
            <w:r>
              <w:rPr>
                <w:rFonts w:hint="eastAsia"/>
                <w:szCs w:val="21"/>
                <w:lang w:eastAsia="zh-CN"/>
              </w:rPr>
              <w:t>法人营业执照（三证合一），公司成立于2014年12月31日，营业执照社会统一信用代码：916101313219938087,</w:t>
            </w:r>
            <w:r>
              <w:rPr>
                <w:rFonts w:hint="eastAsia"/>
                <w:szCs w:val="21"/>
                <w:lang w:val="en-US" w:eastAsia="zh-CN"/>
              </w:rPr>
              <w:t>法人</w:t>
            </w:r>
            <w:r>
              <w:rPr>
                <w:rFonts w:hint="eastAsia"/>
                <w:szCs w:val="21"/>
                <w:lang w:eastAsia="zh-CN"/>
              </w:rPr>
              <w:t>代表人 宋</w:t>
            </w:r>
            <w:r>
              <w:rPr>
                <w:rFonts w:hint="eastAsia"/>
                <w:szCs w:val="21"/>
                <w:lang w:val="en-US" w:eastAsia="zh-CN"/>
              </w:rPr>
              <w:t>琪；注册资本：12507万元。经营期限：长期。</w:t>
            </w:r>
          </w:p>
          <w:p>
            <w:pPr>
              <w:spacing w:line="400" w:lineRule="exact"/>
              <w:ind w:firstLine="420" w:firstLineChars="200"/>
              <w:rPr>
                <w:rFonts w:hint="eastAsia"/>
                <w:szCs w:val="21"/>
                <w:lang w:eastAsia="zh-CN"/>
              </w:rPr>
            </w:pPr>
            <w:r>
              <w:rPr>
                <w:rFonts w:hint="eastAsia"/>
                <w:szCs w:val="21"/>
                <w:lang w:val="en-US" w:eastAsia="zh-CN"/>
              </w:rPr>
              <w:t>注册地址：</w:t>
            </w:r>
            <w:r>
              <w:rPr>
                <w:rFonts w:hint="eastAsia"/>
                <w:szCs w:val="21"/>
                <w:lang w:eastAsia="zh-CN"/>
              </w:rPr>
              <w:t>西安市高新区锦业二路信凯工业园C栋205室。</w:t>
            </w:r>
          </w:p>
          <w:p>
            <w:pPr>
              <w:spacing w:line="400" w:lineRule="exact"/>
              <w:ind w:firstLine="420" w:firstLineChars="200"/>
              <w:rPr>
                <w:rFonts w:hint="eastAsia"/>
                <w:szCs w:val="21"/>
                <w:lang w:eastAsia="zh-CN"/>
              </w:rPr>
            </w:pPr>
            <w:r>
              <w:rPr>
                <w:rFonts w:hint="eastAsia"/>
                <w:szCs w:val="21"/>
                <w:lang w:val="en-US" w:eastAsia="zh-CN"/>
              </w:rPr>
              <w:t>经营</w:t>
            </w:r>
            <w:r>
              <w:rPr>
                <w:rFonts w:hint="eastAsia"/>
                <w:szCs w:val="21"/>
                <w:lang w:eastAsia="zh-CN"/>
              </w:rPr>
              <w:t>范围：建筑智能化工程、建筑工程、建筑装饰装修工程、建筑幕墙工程的施工,室内外建筑声学环境标准的测量、测试,室内外建筑声学装饰装修工程咨询、设计及施工,建筑劳务分包,建筑声学材料的销售、设计及技术服务,新能源技术、环保技术的技术开发、技术咨询、技术服务,智能化会议系统、音响器材、舞台机械的销售及租赁,投影显示设备的安装、技术咨询、技术服务、灯光音响工程的设计、施工及设备安装、调试,建筑场馆技术咨询,计算机软硬件及辅助设备、电子产品、电子元器件的销售,计算机网络技术开发、技术咨询、技术服务, LED电子工程、大屏幕显示系统工程的施工,通风空调及座椅安装。(依法须经批准的项目,经相关部门批准后方可开展经营活动)。</w:t>
            </w:r>
          </w:p>
          <w:p>
            <w:pPr>
              <w:spacing w:line="400" w:lineRule="exact"/>
              <w:ind w:firstLine="420" w:firstLineChars="200"/>
              <w:rPr>
                <w:rFonts w:hint="default"/>
                <w:lang w:val="en-US" w:eastAsia="zh-CN"/>
              </w:rPr>
            </w:pPr>
            <w:r>
              <w:rPr>
                <w:rFonts w:hint="eastAsia"/>
                <w:szCs w:val="21"/>
                <w:lang w:val="en-US" w:eastAsia="zh-CN"/>
              </w:rPr>
              <w:t>质量体系认证范围：</w:t>
            </w:r>
            <w:r>
              <w:rPr>
                <w:rFonts w:hint="eastAsia"/>
                <w:szCs w:val="21"/>
                <w:lang w:eastAsia="zh-CN"/>
              </w:rPr>
              <w:t>建筑声学材料、音响器材、智能化会议系统的销售；建筑声学的设计、技术咨询服务；灯光音响系统的设计、安装及调试；投影显示的技术咨询服务。</w:t>
            </w:r>
            <w:r>
              <w:rPr>
                <w:rFonts w:hint="eastAsia"/>
                <w:szCs w:val="21"/>
                <w:lang w:val="en-US" w:eastAsia="zh-CN"/>
              </w:rPr>
              <w:t>经营范围覆盖认证范围，资质满足要求。</w:t>
            </w:r>
          </w:p>
          <w:p>
            <w:pPr>
              <w:spacing w:line="400" w:lineRule="exact"/>
              <w:ind w:firstLine="420" w:firstLineChars="200"/>
              <w:rPr>
                <w:rFonts w:hint="eastAsia" w:ascii="宋体" w:hAnsi="宋体"/>
                <w:szCs w:val="21"/>
              </w:rPr>
            </w:pPr>
            <w:r>
              <w:rPr>
                <w:rFonts w:hint="eastAsia" w:ascii="宋体" w:hAnsi="宋体"/>
                <w:szCs w:val="21"/>
              </w:rPr>
              <w:t>视频与负责人沟通核实：生产经营场所为</w:t>
            </w:r>
            <w:r>
              <w:rPr>
                <w:rFonts w:hint="eastAsia"/>
                <w:szCs w:val="21"/>
                <w:lang w:eastAsia="zh-CN"/>
              </w:rPr>
              <w:t>西安市高新区锦业二路信凯工业园C栋205室</w:t>
            </w:r>
            <w:r>
              <w:rPr>
                <w:rFonts w:hint="eastAsia" w:ascii="宋体" w:hAnsi="宋体"/>
                <w:szCs w:val="21"/>
              </w:rPr>
              <w:t>，与任务书一致。</w:t>
            </w:r>
          </w:p>
          <w:p>
            <w:pPr>
              <w:spacing w:line="400" w:lineRule="exact"/>
              <w:ind w:firstLine="420" w:firstLineChars="200"/>
              <w:rPr>
                <w:rFonts w:hint="eastAsia" w:ascii="宋体" w:hAnsi="宋体"/>
                <w:szCs w:val="21"/>
              </w:rPr>
            </w:pPr>
            <w:r>
              <w:rPr>
                <w:rFonts w:hint="eastAsia" w:ascii="宋体" w:hAnsi="宋体"/>
                <w:szCs w:val="21"/>
              </w:rPr>
              <w:t>经确认认证范围为：</w:t>
            </w:r>
            <w:r>
              <w:rPr>
                <w:rFonts w:hint="eastAsia"/>
                <w:szCs w:val="21"/>
                <w:lang w:eastAsia="zh-CN"/>
              </w:rPr>
              <w:t>建筑声学材料、音响器材、智能化会议系统的销售；建筑声学的设计、技术咨询服务；灯光音响系统的设计、安装及调试；投影显示的技术咨询服务</w:t>
            </w:r>
            <w:r>
              <w:rPr>
                <w:rFonts w:hint="eastAsia" w:ascii="宋体" w:hAnsi="宋体"/>
                <w:szCs w:val="21"/>
                <w:lang w:val="en-US" w:eastAsia="zh-CN"/>
              </w:rPr>
              <w:t>，</w:t>
            </w:r>
            <w:r>
              <w:rPr>
                <w:rFonts w:hint="eastAsia" w:ascii="宋体" w:hAnsi="宋体"/>
                <w:szCs w:val="21"/>
              </w:rPr>
              <w:t>与任务书一致。</w:t>
            </w:r>
          </w:p>
          <w:p>
            <w:pPr>
              <w:spacing w:line="400" w:lineRule="exact"/>
              <w:ind w:firstLine="420" w:firstLineChars="200"/>
              <w:rPr>
                <w:rFonts w:hint="eastAsia"/>
                <w:szCs w:val="21"/>
              </w:rPr>
            </w:pPr>
            <w:r>
              <w:rPr>
                <w:rFonts w:hint="eastAsia" w:ascii="宋体" w:hAnsi="宋体"/>
                <w:szCs w:val="21"/>
              </w:rPr>
              <w:t>经远程视频核实该公司目前成立</w:t>
            </w:r>
            <w:r>
              <w:rPr>
                <w:rFonts w:hint="eastAsia"/>
                <w:szCs w:val="21"/>
              </w:rPr>
              <w:t>了</w:t>
            </w:r>
            <w:r>
              <w:rPr>
                <w:rFonts w:hint="eastAsia"/>
                <w:szCs w:val="21"/>
                <w:lang w:val="en-US" w:eastAsia="zh-CN"/>
              </w:rPr>
              <w:t>3个</w:t>
            </w:r>
            <w:r>
              <w:rPr>
                <w:rFonts w:hint="eastAsia"/>
                <w:szCs w:val="21"/>
              </w:rPr>
              <w:t xml:space="preserve">部门： </w:t>
            </w:r>
            <w:r>
              <w:rPr>
                <w:rFonts w:hint="eastAsia"/>
                <w:szCs w:val="21"/>
                <w:lang w:val="en-US" w:eastAsia="zh-CN"/>
              </w:rPr>
              <w:t>办公室</w:t>
            </w:r>
            <w:r>
              <w:rPr>
                <w:rFonts w:hint="eastAsia"/>
                <w:szCs w:val="21"/>
              </w:rPr>
              <w:t>、</w:t>
            </w:r>
            <w:r>
              <w:rPr>
                <w:rFonts w:hint="eastAsia"/>
                <w:szCs w:val="21"/>
                <w:lang w:val="en-US" w:eastAsia="zh-CN"/>
              </w:rPr>
              <w:t>技术</w:t>
            </w:r>
            <w:r>
              <w:rPr>
                <w:rFonts w:hint="eastAsia"/>
                <w:szCs w:val="21"/>
                <w:lang w:eastAsia="zh-CN"/>
              </w:rPr>
              <w:t>部</w:t>
            </w:r>
            <w:r>
              <w:rPr>
                <w:rFonts w:hint="eastAsia"/>
                <w:szCs w:val="21"/>
              </w:rPr>
              <w:t>、</w:t>
            </w:r>
            <w:r>
              <w:rPr>
                <w:rFonts w:hint="eastAsia"/>
                <w:szCs w:val="21"/>
                <w:lang w:val="en-US" w:eastAsia="zh-CN"/>
              </w:rPr>
              <w:t>业务部</w:t>
            </w:r>
          </w:p>
          <w:p>
            <w:pPr>
              <w:spacing w:line="400" w:lineRule="exact"/>
              <w:ind w:firstLine="420" w:firstLineChars="200"/>
              <w:rPr>
                <w:rFonts w:hint="eastAsia" w:ascii="宋体" w:hAnsi="宋体"/>
                <w:szCs w:val="21"/>
              </w:rPr>
            </w:pPr>
            <w:r>
              <w:rPr>
                <w:rFonts w:hint="eastAsia"/>
                <w:szCs w:val="21"/>
              </w:rPr>
              <w:t>抽查</w:t>
            </w:r>
            <w:r>
              <w:rPr>
                <w:rFonts w:hint="eastAsia"/>
                <w:szCs w:val="21"/>
                <w:lang w:eastAsia="zh-CN"/>
              </w:rPr>
              <w:t>《</w:t>
            </w:r>
            <w:r>
              <w:rPr>
                <w:rFonts w:hint="eastAsia"/>
                <w:szCs w:val="21"/>
                <w:lang w:val="en-US" w:eastAsia="zh-CN"/>
              </w:rPr>
              <w:t>质量体系手册</w:t>
            </w:r>
            <w:r>
              <w:rPr>
                <w:rFonts w:hint="eastAsia"/>
                <w:szCs w:val="21"/>
                <w:lang w:eastAsia="zh-CN"/>
              </w:rPr>
              <w:t>》</w:t>
            </w:r>
            <w:r>
              <w:rPr>
                <w:rFonts w:hint="eastAsia"/>
                <w:szCs w:val="21"/>
              </w:rPr>
              <w:t>：组织机构图、职能分配表、职责描述，基本保持一致。</w:t>
            </w:r>
          </w:p>
          <w:p>
            <w:pPr>
              <w:spacing w:line="400" w:lineRule="exact"/>
              <w:ind w:firstLine="420" w:firstLineChars="200"/>
              <w:rPr>
                <w:rFonts w:hint="default"/>
                <w:szCs w:val="21"/>
                <w:lang w:val="en-US" w:eastAsia="zh-CN"/>
              </w:rPr>
            </w:pPr>
            <w:r>
              <w:rPr>
                <w:rFonts w:hint="eastAsia"/>
                <w:szCs w:val="21"/>
              </w:rPr>
              <w:t>经</w:t>
            </w:r>
            <w:r>
              <w:rPr>
                <w:rFonts w:hint="eastAsia"/>
                <w:szCs w:val="21"/>
                <w:lang w:val="en-US" w:eastAsia="zh-CN"/>
              </w:rPr>
              <w:t>远程</w:t>
            </w:r>
            <w:r>
              <w:rPr>
                <w:rFonts w:hint="eastAsia"/>
                <w:szCs w:val="21"/>
              </w:rPr>
              <w:t>查看，公司经营地址位于西安市高新区锦业二路信凯工业园C栋205室</w:t>
            </w:r>
            <w:r>
              <w:rPr>
                <w:rFonts w:hint="eastAsia"/>
                <w:szCs w:val="21"/>
                <w:lang w:val="en-US" w:eastAsia="zh-CN"/>
              </w:rPr>
              <w:t>和位于西安市航天城航腾路与神舟六路十字西南角的陕西省计量科学研究院多功能厅安装现场。</w:t>
            </w:r>
          </w:p>
          <w:p>
            <w:pPr>
              <w:spacing w:line="400" w:lineRule="exact"/>
              <w:ind w:firstLine="420" w:firstLineChars="200"/>
              <w:rPr>
                <w:rFonts w:hint="default" w:eastAsia="宋体"/>
                <w:lang w:val="en-US" w:eastAsia="zh-CN"/>
              </w:rPr>
            </w:pPr>
            <w:r>
              <w:rPr>
                <w:rFonts w:hint="eastAsia"/>
                <w:szCs w:val="21"/>
                <w:lang w:val="en-US" w:eastAsia="zh-CN"/>
              </w:rPr>
              <w:t>该公司</w:t>
            </w:r>
            <w:r>
              <w:rPr>
                <w:rFonts w:hint="eastAsia"/>
                <w:szCs w:val="21"/>
              </w:rPr>
              <w:t>办公面积180平米，配置了办公电脑11台；打印/复印机2台；传真机一部，办公桌椅、文件柜</w:t>
            </w:r>
            <w:r>
              <w:rPr>
                <w:rFonts w:hint="eastAsia"/>
                <w:szCs w:val="21"/>
                <w:lang w:val="en-US" w:eastAsia="zh-CN"/>
              </w:rPr>
              <w:t>等</w:t>
            </w:r>
            <w:r>
              <w:rPr>
                <w:rFonts w:hint="eastAsia"/>
                <w:szCs w:val="21"/>
                <w:lang w:eastAsia="zh-CN"/>
              </w:rPr>
              <w:t>。</w:t>
            </w:r>
            <w:r>
              <w:rPr>
                <w:rFonts w:hint="eastAsia"/>
                <w:szCs w:val="21"/>
              </w:rPr>
              <w:t>公司设备配置，设备5台/套（主要为安装、调试所用的工具），监视和测量设备</w:t>
            </w:r>
            <w:r>
              <w:rPr>
                <w:rFonts w:hint="eastAsia"/>
                <w:szCs w:val="21"/>
                <w:lang w:val="en-US" w:eastAsia="zh-CN"/>
              </w:rPr>
              <w:t>3</w:t>
            </w:r>
            <w:r>
              <w:rPr>
                <w:rFonts w:hint="eastAsia"/>
                <w:szCs w:val="21"/>
              </w:rPr>
              <w:t>台/件</w:t>
            </w:r>
            <w:r>
              <w:rPr>
                <w:rFonts w:hint="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u w:val="none"/>
              </w:rPr>
            </w:pPr>
            <w:r>
              <w:rPr>
                <w:rFonts w:hint="eastAsia"/>
                <w:szCs w:val="21"/>
                <w:u w:val="none"/>
              </w:rPr>
              <w:t>员工人数</w:t>
            </w:r>
          </w:p>
          <w:p>
            <w:pPr>
              <w:spacing w:line="400" w:lineRule="exact"/>
              <w:rPr>
                <w:szCs w:val="21"/>
              </w:rPr>
            </w:pPr>
            <w:r>
              <w:rPr>
                <w:rFonts w:hint="eastAsia"/>
                <w:szCs w:val="21"/>
              </w:rPr>
              <w:t>关键岗位持证上岗人员</w:t>
            </w:r>
          </w:p>
          <w:p>
            <w:pPr>
              <w:spacing w:line="400" w:lineRule="exact"/>
              <w:rPr>
                <w:rFonts w:hint="eastAsia"/>
                <w:szCs w:val="21"/>
              </w:rPr>
            </w:pPr>
            <w:r>
              <w:rPr>
                <w:rFonts w:hint="eastAsia"/>
                <w:szCs w:val="21"/>
              </w:rPr>
              <w:t>特殊工种人员</w:t>
            </w:r>
          </w:p>
        </w:tc>
        <w:tc>
          <w:tcPr>
            <w:tcW w:w="960" w:type="dxa"/>
          </w:tcPr>
          <w:p/>
        </w:tc>
        <w:tc>
          <w:tcPr>
            <w:tcW w:w="10004" w:type="dxa"/>
          </w:tcPr>
          <w:p>
            <w:pPr>
              <w:spacing w:line="400" w:lineRule="exact"/>
              <w:rPr>
                <w:szCs w:val="21"/>
              </w:rPr>
            </w:pPr>
            <w:r>
              <w:rPr>
                <w:rFonts w:hint="eastAsia"/>
                <w:szCs w:val="21"/>
                <w:lang w:val="en-US" w:eastAsia="zh-CN"/>
              </w:rPr>
              <w:t>管理/技术/经营人员：20</w:t>
            </w:r>
            <w:r>
              <w:rPr>
                <w:rFonts w:hint="eastAsia"/>
                <w:szCs w:val="21"/>
              </w:rPr>
              <w:t>人</w:t>
            </w:r>
          </w:p>
          <w:p>
            <w:pPr>
              <w:spacing w:line="400" w:lineRule="exact"/>
              <w:rPr>
                <w:rFonts w:hint="eastAsia"/>
                <w:szCs w:val="21"/>
                <w:lang w:val="en-US" w:eastAsia="zh-CN"/>
              </w:rPr>
            </w:pPr>
            <w:r>
              <w:rPr>
                <w:rFonts w:hint="eastAsia"/>
                <w:szCs w:val="21"/>
                <w:lang w:val="en-US" w:eastAsia="zh-CN"/>
              </w:rPr>
              <w:t>技术人员</w:t>
            </w:r>
          </w:p>
          <w:p>
            <w:pPr>
              <w:rPr>
                <w:rFonts w:hint="eastAsia"/>
                <w:szCs w:val="21"/>
              </w:rPr>
            </w:pPr>
          </w:p>
          <w:p>
            <w:pPr>
              <w:rPr>
                <w:rFonts w:hint="eastAsia" w:ascii="宋体" w:hAnsi="宋体"/>
                <w:szCs w:val="21"/>
                <w:lang w:val="en-US" w:eastAsia="zh-CN"/>
              </w:rPr>
            </w:pPr>
            <w:r>
              <w:rPr>
                <w:rFonts w:hint="eastAsia"/>
                <w:szCs w:val="21"/>
              </w:rPr>
              <w:t>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pPr>
            <w:r>
              <w:rPr>
                <w:rFonts w:hint="eastAsia"/>
                <w:szCs w:val="21"/>
              </w:rPr>
              <w:t>（如部门设置和负责人，生产和服务等过程）</w:t>
            </w:r>
          </w:p>
        </w:tc>
        <w:tc>
          <w:tcPr>
            <w:tcW w:w="960" w:type="dxa"/>
          </w:tcPr>
          <w:p/>
        </w:tc>
        <w:tc>
          <w:tcPr>
            <w:tcW w:w="10004" w:type="dxa"/>
          </w:tcPr>
          <w:p>
            <w:pPr>
              <w:rPr>
                <w:rFonts w:hint="eastAsia" w:ascii="宋体" w:hAnsi="宋体"/>
                <w:szCs w:val="21"/>
              </w:rPr>
            </w:pPr>
            <w:r>
              <w:rPr>
                <w:rFonts w:hint="eastAsia" w:ascii="宋体" w:hAnsi="宋体"/>
                <w:szCs w:val="21"/>
                <w:lang w:val="en-US" w:eastAsia="zh-CN"/>
              </w:rPr>
              <w:t>质量管</w:t>
            </w:r>
            <w:r>
              <w:rPr>
                <w:rFonts w:hint="eastAsia" w:ascii="宋体" w:hAnsi="宋体"/>
                <w:szCs w:val="21"/>
              </w:rPr>
              <w:t>理体系运行时间：2019年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pPr>
              <w:spacing w:line="400" w:lineRule="exact"/>
              <w:ind w:firstLine="420" w:firstLineChars="200"/>
              <w:rPr>
                <w:rFonts w:ascii="宋体" w:hAnsi="宋体"/>
                <w:szCs w:val="21"/>
              </w:rPr>
            </w:pPr>
            <w:r>
              <w:rPr>
                <w:rFonts w:hint="eastAsia" w:ascii="宋体" w:hAnsi="宋体"/>
                <w:szCs w:val="21"/>
              </w:rPr>
              <w:t>组织实际与管理体系文件化信息描述基本一致。有</w:t>
            </w:r>
            <w:r>
              <w:rPr>
                <w:rFonts w:hint="eastAsia"/>
                <w:szCs w:val="21"/>
                <w:lang w:val="en-US" w:eastAsia="zh-CN"/>
              </w:rPr>
              <w:t>办公室</w:t>
            </w:r>
            <w:r>
              <w:rPr>
                <w:rFonts w:hint="eastAsia"/>
                <w:szCs w:val="21"/>
              </w:rPr>
              <w:t>、</w:t>
            </w:r>
            <w:r>
              <w:rPr>
                <w:rFonts w:hint="eastAsia"/>
                <w:szCs w:val="21"/>
                <w:lang w:val="en-US" w:eastAsia="zh-CN"/>
              </w:rPr>
              <w:t>技术</w:t>
            </w:r>
            <w:r>
              <w:rPr>
                <w:rFonts w:hint="eastAsia"/>
                <w:szCs w:val="21"/>
                <w:lang w:eastAsia="zh-CN"/>
              </w:rPr>
              <w:t>部</w:t>
            </w:r>
            <w:r>
              <w:rPr>
                <w:rFonts w:hint="eastAsia"/>
                <w:szCs w:val="21"/>
              </w:rPr>
              <w:t>、</w:t>
            </w:r>
            <w:r>
              <w:rPr>
                <w:rFonts w:hint="eastAsia"/>
                <w:szCs w:val="21"/>
                <w:lang w:val="en-US" w:eastAsia="zh-CN"/>
              </w:rPr>
              <w:t>业务部</w:t>
            </w:r>
            <w:r>
              <w:rPr>
                <w:rFonts w:hint="eastAsia" w:ascii="宋体" w:hAnsi="宋体"/>
                <w:szCs w:val="21"/>
              </w:rPr>
              <w:t>。</w:t>
            </w:r>
          </w:p>
          <w:p>
            <w:pPr>
              <w:spacing w:line="400" w:lineRule="exact"/>
              <w:rPr>
                <w:rFonts w:ascii="宋体" w:hAnsi="宋体"/>
                <w:szCs w:val="21"/>
              </w:rPr>
            </w:pPr>
            <w:r>
              <w:rPr>
                <w:rFonts w:hint="eastAsia" w:ascii="宋体" w:hAnsi="宋体"/>
                <w:szCs w:val="21"/>
              </w:rPr>
              <w:t>产品流程见《工艺流程》</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default" w:ascii="宋体" w:hAnsi="宋体" w:eastAsia="宋体"/>
                <w:szCs w:val="21"/>
                <w:lang w:val="en-US" w:eastAsia="zh-CN"/>
              </w:rPr>
            </w:pPr>
            <w:r>
              <w:rPr>
                <w:rFonts w:hint="eastAsia" w:ascii="宋体" w:hAnsi="宋体"/>
                <w:szCs w:val="21"/>
              </w:rPr>
              <w:t>查，管理体系文件名称：质量手册，程序文件</w:t>
            </w:r>
            <w:r>
              <w:rPr>
                <w:rFonts w:hint="eastAsia" w:ascii="宋体" w:hAnsi="宋体"/>
                <w:szCs w:val="21"/>
                <w:lang w:val="en-US" w:eastAsia="zh-CN"/>
              </w:rPr>
              <w:t>,内审/管理评审</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rPr>
                <w:rFonts w:hint="eastAsia" w:ascii="宋体" w:hAnsi="宋体"/>
                <w:szCs w:val="21"/>
              </w:rPr>
            </w:pPr>
          </w:p>
          <w:p>
            <w:pPr>
              <w:rPr>
                <w:rFonts w:hint="eastAsia" w:ascii="宋体" w:hAnsi="宋体"/>
                <w:szCs w:val="21"/>
              </w:rPr>
            </w:pPr>
          </w:p>
          <w:p>
            <w:r>
              <w:rPr>
                <w:rFonts w:hint="eastAsia" w:ascii="宋体" w:hAnsi="宋体"/>
                <w:szCs w:val="21"/>
              </w:rPr>
              <w:t>产品质量监督抽查情况（QMS）</w:t>
            </w:r>
          </w:p>
        </w:tc>
        <w:tc>
          <w:tcPr>
            <w:tcW w:w="960" w:type="dxa"/>
          </w:tcPr>
          <w:p>
            <w:pPr>
              <w:widowControl/>
              <w:spacing w:line="400" w:lineRule="exact"/>
              <w:rPr>
                <w:rFonts w:hint="eastAsia" w:ascii="宋体" w:hAnsi="宋体"/>
                <w:szCs w:val="21"/>
              </w:rPr>
            </w:pPr>
          </w:p>
        </w:tc>
        <w:tc>
          <w:tcPr>
            <w:tcW w:w="10004" w:type="dxa"/>
          </w:tcPr>
          <w:p>
            <w:pPr>
              <w:widowControl/>
              <w:spacing w:line="400" w:lineRule="exact"/>
              <w:rPr>
                <w:rFonts w:hint="eastAsia" w:ascii="宋体" w:hAnsi="宋体"/>
                <w:szCs w:val="21"/>
              </w:rPr>
            </w:pPr>
            <w:r>
              <w:rPr>
                <w:rFonts w:hint="eastAsia" w:ascii="宋体" w:hAnsi="宋体"/>
                <w:szCs w:val="21"/>
              </w:rPr>
              <w:t>中华人民共和国公司法</w:t>
            </w:r>
            <w:r>
              <w:rPr>
                <w:rFonts w:hint="eastAsia" w:ascii="宋体" w:hAnsi="宋体"/>
                <w:szCs w:val="21"/>
                <w:lang w:eastAsia="zh-CN"/>
              </w:rPr>
              <w:t>、</w:t>
            </w:r>
            <w:r>
              <w:rPr>
                <w:rFonts w:hint="eastAsia" w:ascii="宋体" w:hAnsi="宋体"/>
                <w:szCs w:val="21"/>
              </w:rPr>
              <w:t>中华人民共和国合同法、中华人民共和国产品质量法</w:t>
            </w:r>
            <w:r>
              <w:rPr>
                <w:rFonts w:hint="eastAsia" w:ascii="宋体" w:hAnsi="宋体"/>
                <w:szCs w:val="21"/>
                <w:lang w:eastAsia="zh-CN"/>
              </w:rPr>
              <w:t>、</w:t>
            </w:r>
            <w:r>
              <w:rPr>
                <w:rFonts w:hint="eastAsia" w:ascii="宋体" w:hAnsi="宋体"/>
                <w:szCs w:val="21"/>
              </w:rPr>
              <w:t>中华人民共和国安全生产法</w:t>
            </w:r>
            <w:r>
              <w:rPr>
                <w:rFonts w:hint="eastAsia" w:ascii="宋体" w:hAnsi="宋体"/>
                <w:szCs w:val="21"/>
                <w:lang w:eastAsia="zh-CN"/>
              </w:rPr>
              <w:t>、</w:t>
            </w:r>
            <w:r>
              <w:rPr>
                <w:rFonts w:hint="eastAsia" w:ascii="宋体" w:hAnsi="宋体"/>
                <w:szCs w:val="21"/>
              </w:rPr>
              <w:t>中华人民共和国计量法等。</w:t>
            </w:r>
          </w:p>
          <w:p>
            <w:pPr>
              <w:widowControl/>
              <w:spacing w:line="400" w:lineRule="exact"/>
              <w:rPr>
                <w:rFonts w:hint="eastAsia" w:ascii="宋体" w:hAnsi="宋体"/>
                <w:szCs w:val="21"/>
              </w:rPr>
            </w:pPr>
            <w:r>
              <w:rPr>
                <w:rFonts w:hint="eastAsia" w:ascii="宋体" w:hAnsi="宋体"/>
                <w:szCs w:val="21"/>
                <w:lang w:eastAsia="zh-CN"/>
              </w:rPr>
              <w:t>GB</w:t>
            </w:r>
            <w:r>
              <w:rPr>
                <w:rFonts w:hint="eastAsia" w:ascii="宋体" w:hAnsi="宋体"/>
                <w:szCs w:val="21"/>
                <w:lang w:val="en-US" w:eastAsia="zh-CN"/>
              </w:rPr>
              <w:t>/</w:t>
            </w:r>
            <w:r>
              <w:rPr>
                <w:rFonts w:hint="eastAsia" w:ascii="宋体" w:hAnsi="宋体"/>
                <w:szCs w:val="21"/>
                <w:lang w:eastAsia="zh-CN"/>
              </w:rPr>
              <w:t xml:space="preserve">T 28049-2011 </w:t>
            </w:r>
            <w:r>
              <w:rPr>
                <w:rFonts w:hint="eastAsia" w:ascii="宋体" w:hAnsi="宋体"/>
                <w:szCs w:val="21"/>
                <w:lang w:val="en-US" w:eastAsia="zh-CN"/>
              </w:rPr>
              <w:t>《</w:t>
            </w:r>
            <w:r>
              <w:rPr>
                <w:rFonts w:hint="eastAsia" w:ascii="宋体" w:hAnsi="宋体"/>
                <w:szCs w:val="21"/>
                <w:lang w:eastAsia="zh-CN"/>
              </w:rPr>
              <w:t>厅堂、体育场馆扩声系统设计规范</w:t>
            </w:r>
            <w:r>
              <w:rPr>
                <w:rFonts w:hint="eastAsia" w:ascii="宋体" w:hAnsi="宋体"/>
                <w:szCs w:val="21"/>
                <w:lang w:val="en-US" w:eastAsia="zh-CN"/>
              </w:rPr>
              <w:t>》</w:t>
            </w:r>
            <w:r>
              <w:rPr>
                <w:rFonts w:hint="eastAsia" w:ascii="宋体" w:hAnsi="宋体"/>
                <w:szCs w:val="21"/>
                <w:lang w:eastAsia="zh-CN"/>
              </w:rPr>
              <w:t>GB</w:t>
            </w:r>
            <w:r>
              <w:rPr>
                <w:rFonts w:hint="eastAsia" w:ascii="宋体" w:hAnsi="宋体"/>
                <w:szCs w:val="21"/>
                <w:lang w:val="en-US" w:eastAsia="zh-CN"/>
              </w:rPr>
              <w:t>/</w:t>
            </w:r>
            <w:r>
              <w:rPr>
                <w:rFonts w:hint="eastAsia" w:ascii="宋体" w:hAnsi="宋体"/>
                <w:szCs w:val="21"/>
                <w:lang w:eastAsia="zh-CN"/>
              </w:rPr>
              <w:t>T50356-2005《剧场、电影院和多用途厅堂建筑声学设计规范》、</w:t>
            </w:r>
            <w:r>
              <w:rPr>
                <w:rFonts w:hint="eastAsia" w:ascii="宋体" w:hAnsi="宋体"/>
                <w:szCs w:val="21"/>
              </w:rPr>
              <w:t>GB/T 50076-2013</w:t>
            </w:r>
            <w:r>
              <w:rPr>
                <w:rFonts w:hint="eastAsia" w:ascii="宋体" w:hAnsi="宋体"/>
                <w:szCs w:val="21"/>
                <w:lang w:eastAsia="zh-CN"/>
              </w:rPr>
              <w:t>《</w:t>
            </w:r>
            <w:r>
              <w:rPr>
                <w:rFonts w:hint="eastAsia" w:ascii="宋体" w:hAnsi="宋体"/>
                <w:szCs w:val="21"/>
              </w:rPr>
              <w:t>室内混响时间测量规范</w:t>
            </w:r>
            <w:r>
              <w:rPr>
                <w:rFonts w:hint="eastAsia" w:ascii="宋体" w:hAnsi="宋体"/>
                <w:szCs w:val="21"/>
                <w:lang w:eastAsia="zh-CN"/>
              </w:rPr>
              <w:t>》、JGJ31-2003《体育建筑设计规范》、</w:t>
            </w:r>
            <w:r>
              <w:rPr>
                <w:rFonts w:hint="eastAsia" w:ascii="宋体" w:hAnsi="宋体"/>
                <w:szCs w:val="21"/>
              </w:rPr>
              <w:t>JGJ57-2016</w:t>
            </w:r>
            <w:r>
              <w:rPr>
                <w:rFonts w:hint="eastAsia" w:ascii="宋体" w:hAnsi="宋体"/>
                <w:szCs w:val="21"/>
                <w:lang w:eastAsia="zh-CN"/>
              </w:rPr>
              <w:t>《</w:t>
            </w:r>
            <w:r>
              <w:rPr>
                <w:rFonts w:hint="eastAsia" w:ascii="宋体" w:hAnsi="宋体"/>
                <w:szCs w:val="21"/>
              </w:rPr>
              <w:t>剧场建筑设计规范</w:t>
            </w:r>
            <w:r>
              <w:rPr>
                <w:rFonts w:hint="eastAsia" w:ascii="宋体" w:hAnsi="宋体"/>
                <w:szCs w:val="21"/>
                <w:lang w:eastAsia="zh-CN"/>
              </w:rPr>
              <w:t>》、</w:t>
            </w:r>
            <w:r>
              <w:rPr>
                <w:rFonts w:hint="eastAsia" w:ascii="宋体" w:hAnsi="宋体"/>
                <w:szCs w:val="21"/>
              </w:rPr>
              <w:t>GB50016-2014《建筑设计防火规范》</w:t>
            </w:r>
            <w:r>
              <w:rPr>
                <w:rFonts w:hint="eastAsia" w:ascii="宋体" w:hAnsi="宋体"/>
                <w:szCs w:val="21"/>
                <w:lang w:eastAsia="zh-CN"/>
              </w:rPr>
              <w:t>、</w:t>
            </w:r>
            <w:r>
              <w:rPr>
                <w:rFonts w:hint="eastAsia" w:ascii="宋体" w:hAnsi="宋体"/>
                <w:szCs w:val="21"/>
              </w:rPr>
              <w:t>GB 50222-2017《建筑内部装修设计防火规范》</w:t>
            </w:r>
            <w:r>
              <w:rPr>
                <w:rFonts w:hint="eastAsia" w:ascii="宋体" w:hAnsi="宋体"/>
                <w:szCs w:val="21"/>
                <w:lang w:eastAsia="zh-CN"/>
              </w:rPr>
              <w:t>、</w:t>
            </w:r>
            <w:r>
              <w:rPr>
                <w:rFonts w:hint="eastAsia" w:ascii="宋体" w:hAnsi="宋体"/>
                <w:szCs w:val="21"/>
              </w:rPr>
              <w:t>GB50210-2018《建筑装饰装修工程质量验收标准》</w:t>
            </w:r>
            <w:r>
              <w:rPr>
                <w:rFonts w:hint="eastAsia" w:ascii="宋体" w:hAnsi="宋体"/>
                <w:szCs w:val="21"/>
                <w:lang w:eastAsia="zh-CN"/>
              </w:rPr>
              <w:t>等。</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2019年暂无抽检。</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ascii="宋体" w:hAnsi="宋体"/>
                <w:szCs w:val="21"/>
              </w:rPr>
            </w:pPr>
          </w:p>
          <w:p>
            <w:pPr>
              <w:widowControl/>
              <w:spacing w:line="400" w:lineRule="exact"/>
              <w:rPr>
                <w:rFonts w:hint="eastAsia" w:ascii="宋体" w:hAnsi="宋体"/>
                <w:szCs w:val="21"/>
              </w:rPr>
            </w:pPr>
          </w:p>
          <w:p>
            <w:pPr>
              <w:widowControl/>
              <w:spacing w:line="400" w:lineRule="exact"/>
              <w:rPr>
                <w:rFonts w:hint="eastAsia"/>
              </w:rPr>
            </w:pPr>
            <w:r>
              <w:rPr>
                <w:rFonts w:hint="eastAsia" w:ascii="宋体" w:hAnsi="宋体"/>
                <w:szCs w:val="21"/>
              </w:rPr>
              <w:t>不适用条款的确认</w:t>
            </w: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rPr>
                <w:rFonts w:hint="eastAsia" w:ascii="宋体" w:hAnsi="宋体"/>
                <w:szCs w:val="21"/>
              </w:rPr>
            </w:pPr>
            <w:r>
              <w:rPr>
                <w:rFonts w:hint="eastAsia"/>
                <w:szCs w:val="21"/>
                <w:lang w:eastAsia="zh-CN"/>
              </w:rPr>
              <w:t>质量</w:t>
            </w:r>
            <w:r>
              <w:rPr>
                <w:rFonts w:hint="eastAsia"/>
                <w:szCs w:val="21"/>
              </w:rPr>
              <w:t>方针</w:t>
            </w:r>
            <w:r>
              <w:rPr>
                <w:rFonts w:hint="eastAsia"/>
                <w:szCs w:val="21"/>
                <w:lang w:eastAsia="zh-CN"/>
              </w:rPr>
              <w:t>与</w:t>
            </w:r>
            <w:r>
              <w:rPr>
                <w:rFonts w:hint="eastAsia" w:ascii="宋体" w:hAnsi="宋体"/>
                <w:szCs w:val="21"/>
              </w:rPr>
              <w:t>质量目标（QMS）</w:t>
            </w:r>
          </w:p>
        </w:tc>
        <w:tc>
          <w:tcPr>
            <w:tcW w:w="960" w:type="dxa"/>
          </w:tcPr>
          <w:p/>
        </w:tc>
        <w:tc>
          <w:tcPr>
            <w:tcW w:w="10004" w:type="dxa"/>
          </w:tcPr>
          <w:p>
            <w:pPr>
              <w:rPr>
                <w:rFonts w:hint="eastAsia" w:ascii="宋体" w:hAnsi="宋体"/>
                <w:szCs w:val="21"/>
                <w:lang w:eastAsia="zh-CN"/>
              </w:rPr>
            </w:pPr>
            <w:r>
              <w:rPr>
                <w:rFonts w:hint="eastAsia" w:ascii="宋体" w:hAnsi="宋体"/>
                <w:szCs w:val="21"/>
                <w:lang w:eastAsia="zh-CN"/>
              </w:rPr>
              <w:t>1技术咨询服务流程：现场勘查→提供解决方案→提供现场技术服务（调试、培训等）→提供后续维护保养服务；</w:t>
            </w:r>
          </w:p>
          <w:p>
            <w:pPr>
              <w:rPr>
                <w:rFonts w:hint="eastAsia" w:ascii="宋体" w:hAnsi="宋体"/>
                <w:szCs w:val="21"/>
                <w:lang w:eastAsia="zh-CN"/>
              </w:rPr>
            </w:pPr>
            <w:r>
              <w:rPr>
                <w:rFonts w:hint="eastAsia" w:ascii="宋体" w:hAnsi="宋体"/>
                <w:szCs w:val="21"/>
                <w:lang w:eastAsia="zh-CN"/>
              </w:rPr>
              <w:t>2销售服务流程：与客户签订购买合同→采购物资→运抵客户验收→付款结算；</w:t>
            </w:r>
          </w:p>
          <w:p>
            <w:pPr>
              <w:rPr>
                <w:rFonts w:hint="eastAsia" w:ascii="宋体" w:hAnsi="宋体"/>
                <w:szCs w:val="21"/>
                <w:lang w:eastAsia="zh-CN"/>
              </w:rPr>
            </w:pPr>
            <w:r>
              <w:rPr>
                <w:rFonts w:hint="eastAsia" w:ascii="宋体" w:hAnsi="宋体"/>
                <w:szCs w:val="21"/>
                <w:lang w:eastAsia="zh-CN"/>
              </w:rPr>
              <w:t>3设计流程：客户需求→签订合同→现场勘察→设计过程→评审→验证→确认→-交付→-客户验收；</w:t>
            </w:r>
          </w:p>
          <w:p>
            <w:pPr>
              <w:rPr>
                <w:rFonts w:hint="eastAsia" w:ascii="宋体" w:hAnsi="宋体"/>
                <w:szCs w:val="21"/>
                <w:lang w:eastAsia="zh-CN"/>
              </w:rPr>
            </w:pPr>
            <w:r>
              <w:rPr>
                <w:rFonts w:hint="eastAsia" w:ascii="宋体" w:hAnsi="宋体"/>
                <w:szCs w:val="21"/>
                <w:lang w:eastAsia="zh-CN"/>
              </w:rPr>
              <w:t>4安装调试流程：编制安装调试方案→实施安装调试→客户验收。</w:t>
            </w:r>
          </w:p>
          <w:p>
            <w:pPr>
              <w:rPr>
                <w:rFonts w:hint="eastAsia" w:ascii="宋体" w:hAnsi="宋体"/>
                <w:b/>
                <w:bCs/>
                <w:sz w:val="30"/>
                <w:szCs w:val="30"/>
                <w:lang w:eastAsia="zh-CN"/>
              </w:rPr>
            </w:pPr>
            <w:r>
              <w:rPr>
                <w:rFonts w:hint="eastAsia" w:ascii="宋体" w:hAnsi="宋体"/>
                <w:szCs w:val="21"/>
                <w:lang w:eastAsia="zh-CN"/>
              </w:rPr>
              <w:t>无</w:t>
            </w:r>
          </w:p>
          <w:p>
            <w:pPr>
              <w:widowControl/>
              <w:spacing w:line="400" w:lineRule="exact"/>
              <w:jc w:val="both"/>
              <w:rPr>
                <w:rFonts w:hint="eastAsia"/>
                <w:lang w:eastAsia="zh-CN"/>
              </w:rPr>
            </w:pPr>
            <w:r>
              <w:rPr>
                <w:rFonts w:hint="eastAsia" w:ascii="宋体" w:hAnsi="宋体"/>
                <w:szCs w:val="21"/>
                <w:lang w:val="en-US" w:eastAsia="zh-CN"/>
              </w:rPr>
              <w:t>无</w:t>
            </w:r>
          </w:p>
          <w:p>
            <w:pPr>
              <w:widowControl/>
              <w:spacing w:line="400" w:lineRule="exact"/>
              <w:jc w:val="both"/>
              <w:rPr>
                <w:rFonts w:hint="eastAsia" w:ascii="宋体" w:hAnsi="宋体" w:eastAsia="宋体" w:cs="Times New Roman"/>
                <w:szCs w:val="21"/>
              </w:rPr>
            </w:pPr>
            <w:r>
              <w:rPr>
                <w:rFonts w:hint="eastAsia" w:ascii="宋体" w:hAnsi="宋体" w:eastAsia="宋体" w:cs="Times New Roman"/>
                <w:szCs w:val="21"/>
                <w:lang w:eastAsia="zh-CN"/>
              </w:rPr>
              <w:t>方针：满足顾客需求，  提供优质服务</w:t>
            </w:r>
            <w:r>
              <w:rPr>
                <w:rFonts w:hint="eastAsia" w:ascii="宋体" w:hAnsi="宋体" w:cs="Times New Roman"/>
                <w:szCs w:val="21"/>
                <w:lang w:eastAsia="zh-CN"/>
              </w:rPr>
              <w:t>；</w:t>
            </w:r>
            <w:r>
              <w:rPr>
                <w:rFonts w:hint="eastAsia" w:ascii="宋体" w:hAnsi="宋体" w:eastAsia="宋体" w:cs="Times New Roman"/>
                <w:szCs w:val="21"/>
                <w:lang w:eastAsia="zh-CN"/>
              </w:rPr>
              <w:t>强化过程管理，  致力持续改进。</w:t>
            </w:r>
            <w:r>
              <w:rPr>
                <w:rFonts w:hint="eastAsia" w:ascii="宋体" w:hAnsi="宋体" w:eastAsia="宋体" w:cs="Times New Roman"/>
                <w:szCs w:val="21"/>
                <w:lang w:val="en-US" w:eastAsia="zh-CN"/>
              </w:rPr>
              <w:t xml:space="preserve">    </w:t>
            </w:r>
          </w:p>
          <w:p>
            <w:pPr>
              <w:widowControl/>
              <w:spacing w:line="400" w:lineRule="exact"/>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目标：a、技术服务合格率</w:t>
            </w:r>
            <w:r>
              <w:rPr>
                <w:rFonts w:hint="eastAsia" w:ascii="宋体" w:hAnsi="宋体" w:cs="Times New Roman"/>
                <w:szCs w:val="21"/>
                <w:lang w:val="en-US" w:eastAsia="zh-CN"/>
              </w:rPr>
              <w:t>1</w:t>
            </w:r>
            <w:r>
              <w:rPr>
                <w:rFonts w:hint="eastAsia" w:ascii="宋体" w:hAnsi="宋体" w:eastAsia="宋体" w:cs="Times New Roman"/>
                <w:szCs w:val="21"/>
                <w:lang w:val="en-US" w:eastAsia="zh-CN"/>
              </w:rPr>
              <w:t>00%；</w:t>
            </w:r>
          </w:p>
          <w:p>
            <w:pPr>
              <w:widowControl/>
              <w:spacing w:line="400" w:lineRule="exact"/>
              <w:ind w:firstLine="630" w:firstLineChars="300"/>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b、顾客满意率：95％以上，</w:t>
            </w:r>
          </w:p>
          <w:p>
            <w:pPr>
              <w:rPr>
                <w:rFonts w:hint="eastAsia"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adjustRightInd w:val="0"/>
              <w:snapToGrid w:val="0"/>
              <w:spacing w:line="360" w:lineRule="auto"/>
              <w:rPr>
                <w:rFonts w:hint="eastAsia"/>
                <w:szCs w:val="21"/>
                <w:lang w:eastAsia="zh-CN"/>
              </w:rPr>
            </w:pPr>
            <w:r>
              <w:rPr>
                <w:rFonts w:hint="eastAsia"/>
                <w:szCs w:val="21"/>
                <w:lang w:eastAsia="zh-CN"/>
              </w:rPr>
              <w:t>监视和测量资源</w:t>
            </w:r>
          </w:p>
        </w:tc>
        <w:tc>
          <w:tcPr>
            <w:tcW w:w="960" w:type="dxa"/>
          </w:tcPr>
          <w:p/>
        </w:tc>
        <w:tc>
          <w:tcPr>
            <w:tcW w:w="10004" w:type="dxa"/>
          </w:tcPr>
          <w:p>
            <w:pPr>
              <w:adjustRightInd w:val="0"/>
              <w:snapToGrid w:val="0"/>
              <w:spacing w:line="360" w:lineRule="auto"/>
              <w:rPr>
                <w:rFonts w:hint="eastAsia" w:ascii="宋体" w:hAnsi="宋体"/>
                <w:szCs w:val="21"/>
              </w:rPr>
            </w:pPr>
            <w:r>
              <w:rPr>
                <w:rFonts w:hint="eastAsia"/>
                <w:szCs w:val="21"/>
                <w:lang w:eastAsia="zh-CN"/>
              </w:rPr>
              <w:t>公司有</w:t>
            </w:r>
            <w:r>
              <w:rPr>
                <w:rFonts w:hint="eastAsia"/>
                <w:szCs w:val="21"/>
                <w:lang w:val="en-US" w:eastAsia="zh-CN"/>
              </w:rPr>
              <w:t>红外测距仪、声场分析仪、数字万用表等，</w:t>
            </w:r>
            <w:r>
              <w:rPr>
                <w:rFonts w:hint="eastAsia"/>
                <w:szCs w:val="21"/>
                <w:lang w:eastAsia="zh-CN"/>
              </w:rPr>
              <w:t>是监视或测量产品是否符合要求的测量设备，为保证结果有效可靠，测量设备送有资质的检测</w:t>
            </w:r>
            <w:r>
              <w:rPr>
                <w:rFonts w:hint="eastAsia"/>
                <w:szCs w:val="21"/>
                <w:lang w:val="en-US" w:eastAsia="zh-CN"/>
              </w:rPr>
              <w:t>单位</w:t>
            </w:r>
            <w:r>
              <w:rPr>
                <w:rFonts w:hint="eastAsia"/>
                <w:szCs w:val="21"/>
                <w:lang w:eastAsia="zh-CN"/>
              </w:rPr>
              <w:t>检测，可进行测量溯源。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adjustRightInd w:val="0"/>
              <w:snapToGrid w:val="0"/>
              <w:spacing w:line="360" w:lineRule="auto"/>
              <w:rPr>
                <w:rFonts w:hint="eastAsia"/>
                <w:szCs w:val="21"/>
                <w:lang w:eastAsia="zh-CN"/>
              </w:rPr>
            </w:pPr>
            <w:r>
              <w:rPr>
                <w:rFonts w:hint="eastAsia"/>
                <w:szCs w:val="21"/>
                <w:lang w:eastAsia="zh-CN"/>
              </w:rPr>
              <w:t xml:space="preserve">设计和开发控制情况； </w:t>
            </w:r>
          </w:p>
        </w:tc>
        <w:tc>
          <w:tcPr>
            <w:tcW w:w="960" w:type="dxa"/>
          </w:tcPr>
          <w:p/>
        </w:tc>
        <w:tc>
          <w:tcPr>
            <w:tcW w:w="10004" w:type="dxa"/>
          </w:tcPr>
          <w:p>
            <w:pPr>
              <w:pStyle w:val="2"/>
              <w:rPr>
                <w:rFonts w:hint="default"/>
                <w:lang w:val="en-US" w:eastAsia="zh-CN"/>
              </w:rPr>
            </w:pPr>
            <w:r>
              <w:rPr>
                <w:rFonts w:hint="default" w:ascii="Times New Roman" w:hAnsi="Times New Roman" w:eastAsia="宋体" w:cs="Times New Roman"/>
                <w:kern w:val="2"/>
                <w:sz w:val="21"/>
                <w:szCs w:val="21"/>
                <w:lang w:val="en-US" w:eastAsia="zh-CN" w:bidi="ar-SA"/>
              </w:rPr>
              <w:t>客户需求→签订合同→现场勘察→设计过程→评审→验证→确认→-交付→-客户验收；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60" w:type="dxa"/>
          </w:tcPr>
          <w:p>
            <w:pPr>
              <w:spacing w:line="400" w:lineRule="exact"/>
              <w:rPr>
                <w:szCs w:val="21"/>
              </w:rPr>
            </w:pPr>
            <w:r>
              <w:rPr>
                <w:rFonts w:hint="eastAsia"/>
                <w:szCs w:val="21"/>
              </w:rPr>
              <w:t>内部审核：</w:t>
            </w:r>
          </w:p>
          <w:p>
            <w:pPr>
              <w:spacing w:line="400" w:lineRule="exact"/>
              <w:rPr>
                <w:rFonts w:hint="eastAsia"/>
                <w:szCs w:val="21"/>
              </w:rPr>
            </w:pPr>
          </w:p>
          <w:p>
            <w:pPr>
              <w:spacing w:line="400" w:lineRule="exact"/>
              <w:rPr>
                <w:szCs w:val="21"/>
              </w:rPr>
            </w:pPr>
            <w:r>
              <w:rPr>
                <w:rFonts w:hint="eastAsia"/>
                <w:szCs w:val="21"/>
              </w:rPr>
              <w:t>时间</w:t>
            </w:r>
          </w:p>
          <w:p>
            <w:pPr>
              <w:spacing w:line="400" w:lineRule="exact"/>
              <w:rPr>
                <w:szCs w:val="21"/>
              </w:rPr>
            </w:pPr>
            <w:r>
              <w:rPr>
                <w:rFonts w:hint="eastAsia"/>
                <w:szCs w:val="21"/>
              </w:rPr>
              <w:t>审核组</w:t>
            </w:r>
          </w:p>
          <w:p>
            <w:pPr>
              <w:spacing w:line="400" w:lineRule="exact"/>
              <w:rPr>
                <w:szCs w:val="21"/>
              </w:rPr>
            </w:pPr>
            <w:r>
              <w:rPr>
                <w:rFonts w:hint="eastAsia"/>
                <w:szCs w:val="21"/>
              </w:rPr>
              <w:t>不符合及整改</w:t>
            </w:r>
          </w:p>
          <w:p>
            <w:pPr>
              <w:rPr>
                <w:rFonts w:hint="eastAsia"/>
                <w:szCs w:val="21"/>
                <w:lang w:eastAsia="zh-CN"/>
              </w:rPr>
            </w:pPr>
          </w:p>
        </w:tc>
        <w:tc>
          <w:tcPr>
            <w:tcW w:w="960" w:type="dxa"/>
          </w:tcPr>
          <w:p>
            <w:pPr>
              <w:spacing w:line="400" w:lineRule="exact"/>
              <w:rPr>
                <w:rFonts w:hint="eastAsia"/>
                <w:szCs w:val="21"/>
              </w:rPr>
            </w:pPr>
          </w:p>
        </w:tc>
        <w:tc>
          <w:tcPr>
            <w:tcW w:w="10004" w:type="dxa"/>
          </w:tcPr>
          <w:p>
            <w:pPr>
              <w:spacing w:line="400" w:lineRule="exact"/>
              <w:rPr>
                <w:rFonts w:hint="eastAsia"/>
                <w:szCs w:val="21"/>
              </w:rPr>
            </w:pPr>
            <w:r>
              <w:rPr>
                <w:rFonts w:hint="eastAsia"/>
                <w:szCs w:val="21"/>
              </w:rPr>
              <w:t>建立有《内部审核控制程序》</w:t>
            </w:r>
          </w:p>
          <w:p>
            <w:pPr>
              <w:spacing w:line="400" w:lineRule="exact"/>
              <w:rPr>
                <w:rFonts w:hint="eastAsia"/>
                <w:szCs w:val="21"/>
              </w:rPr>
            </w:pPr>
            <w:r>
              <w:rPr>
                <w:rFonts w:hint="eastAsia"/>
                <w:szCs w:val="21"/>
              </w:rPr>
              <w:t>见有《2019年度内部审核实施计划》</w:t>
            </w:r>
          </w:p>
          <w:p>
            <w:pPr>
              <w:spacing w:line="400" w:lineRule="exact"/>
              <w:rPr>
                <w:rFonts w:hint="eastAsia"/>
                <w:szCs w:val="21"/>
              </w:rPr>
            </w:pPr>
            <w:r>
              <w:rPr>
                <w:rFonts w:hint="eastAsia"/>
                <w:szCs w:val="21"/>
              </w:rPr>
              <w:t>内审时间：2019</w:t>
            </w:r>
            <w:r>
              <w:rPr>
                <w:rFonts w:hint="eastAsia"/>
                <w:szCs w:val="21"/>
                <w:lang w:val="en-US" w:eastAsia="zh-CN"/>
              </w:rPr>
              <w:t>年</w:t>
            </w:r>
            <w:r>
              <w:rPr>
                <w:rFonts w:hint="eastAsia"/>
                <w:szCs w:val="21"/>
              </w:rPr>
              <w:t>12</w:t>
            </w:r>
            <w:r>
              <w:rPr>
                <w:rFonts w:hint="eastAsia"/>
                <w:szCs w:val="21"/>
                <w:lang w:val="en-US" w:eastAsia="zh-CN"/>
              </w:rPr>
              <w:t>月</w:t>
            </w:r>
            <w:r>
              <w:rPr>
                <w:rFonts w:hint="eastAsia"/>
                <w:szCs w:val="21"/>
              </w:rPr>
              <w:t>1</w:t>
            </w:r>
            <w:r>
              <w:rPr>
                <w:rFonts w:hint="eastAsia"/>
                <w:szCs w:val="21"/>
                <w:lang w:val="en-US" w:eastAsia="zh-CN"/>
              </w:rPr>
              <w:t>5-16</w:t>
            </w:r>
            <w:r>
              <w:rPr>
                <w:rFonts w:hint="eastAsia"/>
                <w:szCs w:val="21"/>
              </w:rPr>
              <w:t xml:space="preserve"> </w:t>
            </w:r>
            <w:r>
              <w:rPr>
                <w:rFonts w:hint="eastAsia"/>
                <w:szCs w:val="21"/>
                <w:lang w:val="en-US" w:eastAsia="zh-CN"/>
              </w:rPr>
              <w:t>日</w:t>
            </w:r>
            <w:r>
              <w:rPr>
                <w:rFonts w:hint="eastAsia"/>
                <w:szCs w:val="21"/>
              </w:rPr>
              <w:t xml:space="preserve">      </w:t>
            </w:r>
          </w:p>
          <w:p>
            <w:pPr>
              <w:spacing w:line="400" w:lineRule="exact"/>
              <w:rPr>
                <w:rFonts w:hint="eastAsia"/>
                <w:szCs w:val="21"/>
                <w:lang w:eastAsia="zh-CN"/>
              </w:rPr>
            </w:pPr>
            <w:r>
              <w:rPr>
                <w:rFonts w:hint="eastAsia"/>
                <w:szCs w:val="21"/>
              </w:rPr>
              <w:t>审核组长：</w:t>
            </w:r>
            <w:r>
              <w:rPr>
                <w:rFonts w:hint="eastAsia"/>
                <w:szCs w:val="21"/>
                <w:lang w:eastAsia="zh-CN"/>
              </w:rPr>
              <w:t>刘芳</w:t>
            </w:r>
            <w:r>
              <w:rPr>
                <w:rFonts w:hint="eastAsia"/>
                <w:szCs w:val="21"/>
              </w:rPr>
              <w:t xml:space="preserve">        组员：</w:t>
            </w:r>
            <w:r>
              <w:rPr>
                <w:rFonts w:hint="eastAsia"/>
                <w:szCs w:val="21"/>
                <w:lang w:eastAsia="zh-CN"/>
              </w:rPr>
              <w:t>宋琪</w:t>
            </w:r>
          </w:p>
          <w:p>
            <w:pPr>
              <w:spacing w:line="400" w:lineRule="exact"/>
              <w:rPr>
                <w:rFonts w:hint="eastAsia"/>
                <w:szCs w:val="21"/>
              </w:rPr>
            </w:pPr>
            <w:r>
              <w:rPr>
                <w:rFonts w:hint="eastAsia"/>
                <w:szCs w:val="21"/>
              </w:rPr>
              <w:t>见有：《内审不符合项报告》1份，涉及办</w:t>
            </w:r>
            <w:bookmarkStart w:id="1" w:name="_GoBack"/>
            <w:bookmarkEnd w:id="1"/>
            <w:r>
              <w:rPr>
                <w:rFonts w:hint="eastAsia"/>
                <w:szCs w:val="21"/>
              </w:rPr>
              <w:t>公室7.5.3.2条款，不符合事实描述“</w:t>
            </w:r>
            <w:r>
              <w:rPr>
                <w:rFonts w:hint="eastAsia" w:ascii="宋体" w:hAnsi="宋体" w:cs="宋体"/>
                <w:szCs w:val="21"/>
              </w:rPr>
              <w:t>检查发现</w:t>
            </w:r>
            <w:r>
              <w:rPr>
                <w:rFonts w:hint="eastAsia"/>
              </w:rPr>
              <w:t>《建筑装饰装修工程质量验收标准》</w:t>
            </w:r>
            <w:r>
              <w:rPr>
                <w:rFonts w:hint="eastAsia" w:ascii="宋体" w:hAnsi="宋体" w:cs="宋体"/>
                <w:szCs w:val="21"/>
              </w:rPr>
              <w:t>不是最新版本</w:t>
            </w:r>
            <w:r>
              <w:rPr>
                <w:rFonts w:hint="eastAsia"/>
                <w:szCs w:val="21"/>
              </w:rPr>
              <w:t>”针对该不符合项，已及时采取纠正措施后，经内审员验证关闭。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spacing w:line="400" w:lineRule="exact"/>
              <w:rPr>
                <w:szCs w:val="21"/>
              </w:rPr>
            </w:pPr>
            <w:r>
              <w:rPr>
                <w:rFonts w:hint="eastAsia"/>
                <w:szCs w:val="21"/>
              </w:rPr>
              <w:t>管理评审：</w:t>
            </w:r>
          </w:p>
          <w:p>
            <w:pPr>
              <w:spacing w:line="400" w:lineRule="exact"/>
              <w:rPr>
                <w:szCs w:val="21"/>
              </w:rPr>
            </w:pPr>
            <w:r>
              <w:rPr>
                <w:rFonts w:hint="eastAsia"/>
                <w:szCs w:val="21"/>
              </w:rPr>
              <w:t>时间</w:t>
            </w:r>
          </w:p>
          <w:p>
            <w:pPr>
              <w:spacing w:line="400" w:lineRule="exact"/>
              <w:rPr>
                <w:szCs w:val="21"/>
              </w:rPr>
            </w:pPr>
            <w:r>
              <w:rPr>
                <w:rFonts w:hint="eastAsia"/>
                <w:szCs w:val="21"/>
              </w:rPr>
              <w:t>输入是否完整</w:t>
            </w:r>
          </w:p>
          <w:p>
            <w:pPr>
              <w:spacing w:line="400" w:lineRule="exact"/>
              <w:rPr>
                <w:rFonts w:hint="eastAsia"/>
                <w:szCs w:val="21"/>
                <w:lang w:eastAsia="zh-CN"/>
              </w:rPr>
            </w:pPr>
            <w:r>
              <w:rPr>
                <w:rFonts w:hint="eastAsia"/>
                <w:szCs w:val="21"/>
              </w:rPr>
              <w:t>提出的改进内容</w:t>
            </w:r>
          </w:p>
        </w:tc>
        <w:tc>
          <w:tcPr>
            <w:tcW w:w="960" w:type="dxa"/>
          </w:tcPr>
          <w:p/>
        </w:tc>
        <w:tc>
          <w:tcPr>
            <w:tcW w:w="10004" w:type="dxa"/>
          </w:tcPr>
          <w:p>
            <w:pPr>
              <w:adjustRightInd w:val="0"/>
              <w:spacing w:line="400" w:lineRule="exact"/>
              <w:textAlignment w:val="baseline"/>
              <w:rPr>
                <w:rFonts w:ascii="宋体" w:hAnsi="宋体"/>
                <w:kern w:val="0"/>
                <w:szCs w:val="21"/>
              </w:rPr>
            </w:pPr>
            <w:r>
              <w:rPr>
                <w:rFonts w:hint="eastAsia" w:ascii="宋体" w:hAnsi="宋体"/>
                <w:kern w:val="0"/>
                <w:szCs w:val="21"/>
              </w:rPr>
              <w:t>查见《管理评审计划》、《管理评审报告》等</w:t>
            </w:r>
          </w:p>
          <w:p>
            <w:pPr>
              <w:rPr>
                <w:rFonts w:hint="eastAsia" w:ascii="宋体" w:hAnsi="宋体" w:eastAsia="宋体"/>
                <w:kern w:val="0"/>
                <w:szCs w:val="21"/>
                <w:lang w:val="en-US" w:eastAsia="zh-CN"/>
              </w:rPr>
            </w:pPr>
            <w:r>
              <w:rPr>
                <w:rFonts w:hint="eastAsia" w:ascii="宋体" w:hAnsi="宋体"/>
                <w:kern w:val="0"/>
                <w:szCs w:val="21"/>
              </w:rPr>
              <w:t>管理评</w:t>
            </w:r>
            <w:r>
              <w:rPr>
                <w:rFonts w:hint="eastAsia"/>
                <w:szCs w:val="21"/>
              </w:rPr>
              <w:t>审于：2019</w:t>
            </w:r>
            <w:r>
              <w:rPr>
                <w:rFonts w:hint="eastAsia"/>
                <w:szCs w:val="21"/>
                <w:lang w:val="en-US" w:eastAsia="zh-CN"/>
              </w:rPr>
              <w:t>年</w:t>
            </w:r>
            <w:r>
              <w:rPr>
                <w:rFonts w:hint="eastAsia"/>
                <w:szCs w:val="21"/>
              </w:rPr>
              <w:t>12</w:t>
            </w:r>
            <w:r>
              <w:rPr>
                <w:rFonts w:hint="eastAsia"/>
                <w:szCs w:val="21"/>
                <w:lang w:val="en-US" w:eastAsia="zh-CN"/>
              </w:rPr>
              <w:t>月</w:t>
            </w:r>
            <w:r>
              <w:rPr>
                <w:rFonts w:hint="eastAsia"/>
                <w:szCs w:val="21"/>
              </w:rPr>
              <w:t>30</w:t>
            </w:r>
            <w:r>
              <w:rPr>
                <w:rFonts w:hint="eastAsia"/>
                <w:szCs w:val="21"/>
                <w:lang w:val="en-US" w:eastAsia="zh-CN"/>
              </w:rPr>
              <w:t>日</w:t>
            </w:r>
          </w:p>
          <w:p>
            <w:pPr>
              <w:adjustRightInd w:val="0"/>
              <w:spacing w:line="400" w:lineRule="exact"/>
              <w:textAlignment w:val="baseline"/>
              <w:rPr>
                <w:szCs w:val="21"/>
              </w:rPr>
            </w:pPr>
            <w:r>
              <w:rPr>
                <w:rFonts w:hint="eastAsia"/>
                <w:szCs w:val="21"/>
              </w:rPr>
              <w:t>由总经理主持完成。</w:t>
            </w: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提出改进项：</w:t>
            </w:r>
          </w:p>
          <w:p>
            <w:pPr>
              <w:rPr>
                <w:rFonts w:hint="eastAsia"/>
                <w:bCs/>
                <w:szCs w:val="20"/>
              </w:rPr>
            </w:pPr>
            <w:r>
              <w:rPr>
                <w:rFonts w:hint="eastAsia"/>
                <w:bCs/>
              </w:rPr>
              <w:t>1、</w:t>
            </w:r>
            <w:r>
              <w:rPr>
                <w:rFonts w:hint="eastAsia"/>
                <w:bCs/>
                <w:szCs w:val="20"/>
              </w:rPr>
              <w:t>加强培训，在</w:t>
            </w:r>
            <w:r>
              <w:rPr>
                <w:rFonts w:hint="eastAsia"/>
                <w:bCs/>
                <w:szCs w:val="20"/>
                <w:lang w:eastAsia="zh-CN"/>
              </w:rPr>
              <w:t>2019</w:t>
            </w:r>
            <w:r>
              <w:rPr>
                <w:rFonts w:hint="eastAsia"/>
                <w:bCs/>
                <w:szCs w:val="20"/>
              </w:rPr>
              <w:t>年底前，增加骨干人员的管理知识培训和</w:t>
            </w:r>
            <w:r>
              <w:rPr>
                <w:bCs/>
                <w:szCs w:val="20"/>
              </w:rPr>
              <w:t>GB/T 19001-2016</w:t>
            </w:r>
            <w:r>
              <w:rPr>
                <w:rFonts w:hint="eastAsia"/>
                <w:bCs/>
                <w:szCs w:val="20"/>
              </w:rPr>
              <w:t>知识的培训内容,由</w:t>
            </w:r>
            <w:r>
              <w:rPr>
                <w:rFonts w:hint="eastAsia"/>
                <w:bCs/>
                <w:szCs w:val="20"/>
                <w:lang w:val="en-US" w:eastAsia="zh-CN"/>
              </w:rPr>
              <w:t>办公室</w:t>
            </w:r>
            <w:r>
              <w:rPr>
                <w:rFonts w:hint="eastAsia"/>
                <w:bCs/>
                <w:szCs w:val="20"/>
              </w:rPr>
              <w:t>负责。</w:t>
            </w:r>
          </w:p>
          <w:p>
            <w:pPr>
              <w:rPr>
                <w:rFonts w:hint="eastAsia"/>
                <w:bCs/>
                <w:szCs w:val="20"/>
              </w:rPr>
            </w:pPr>
            <w:r>
              <w:rPr>
                <w:rFonts w:hint="eastAsia"/>
                <w:bCs/>
                <w:szCs w:val="20"/>
              </w:rPr>
              <w:t>2、根据目前公司的情况，新市场的开发空间大，需要招聘2名</w:t>
            </w:r>
            <w:r>
              <w:rPr>
                <w:rFonts w:hint="eastAsia"/>
                <w:bCs/>
                <w:szCs w:val="20"/>
                <w:lang w:eastAsia="zh-CN"/>
              </w:rPr>
              <w:t>技术服务</w:t>
            </w:r>
            <w:r>
              <w:rPr>
                <w:rFonts w:hint="eastAsia"/>
                <w:bCs/>
                <w:szCs w:val="20"/>
              </w:rPr>
              <w:t>人员。</w:t>
            </w:r>
          </w:p>
          <w:p>
            <w:pPr>
              <w:spacing w:line="420" w:lineRule="exact"/>
              <w:rPr>
                <w:rFonts w:hint="eastAsia"/>
                <w:szCs w:val="21"/>
              </w:rPr>
            </w:pPr>
          </w:p>
        </w:tc>
        <w:tc>
          <w:tcPr>
            <w:tcW w:w="1585" w:type="dxa"/>
          </w:tcPr>
          <w:p/>
        </w:tc>
      </w:tr>
    </w:tbl>
    <w:p>
      <w:pPr>
        <w:jc w:val="both"/>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46F24"/>
    <w:rsid w:val="060D7A60"/>
    <w:rsid w:val="0B0D4735"/>
    <w:rsid w:val="0DF209A5"/>
    <w:rsid w:val="0F095EBE"/>
    <w:rsid w:val="142650A0"/>
    <w:rsid w:val="179F5EE0"/>
    <w:rsid w:val="1A1C3EBE"/>
    <w:rsid w:val="1A3C75C1"/>
    <w:rsid w:val="1C1911B6"/>
    <w:rsid w:val="1D877AFF"/>
    <w:rsid w:val="210C1771"/>
    <w:rsid w:val="22EC6D8A"/>
    <w:rsid w:val="29961A09"/>
    <w:rsid w:val="2DA81CD8"/>
    <w:rsid w:val="33B343F0"/>
    <w:rsid w:val="33FC3EF7"/>
    <w:rsid w:val="38854E2E"/>
    <w:rsid w:val="39954004"/>
    <w:rsid w:val="3DE272C0"/>
    <w:rsid w:val="4B0B76CA"/>
    <w:rsid w:val="4CF83538"/>
    <w:rsid w:val="4EA501EC"/>
    <w:rsid w:val="4EA82C88"/>
    <w:rsid w:val="4ECC4ADA"/>
    <w:rsid w:val="4FFE6DEE"/>
    <w:rsid w:val="55855A41"/>
    <w:rsid w:val="57847222"/>
    <w:rsid w:val="582B4933"/>
    <w:rsid w:val="58F968CD"/>
    <w:rsid w:val="599A2906"/>
    <w:rsid w:val="5CA17AF5"/>
    <w:rsid w:val="5D7F763E"/>
    <w:rsid w:val="6102743B"/>
    <w:rsid w:val="62C7458A"/>
    <w:rsid w:val="6938742E"/>
    <w:rsid w:val="69741D30"/>
    <w:rsid w:val="76132812"/>
    <w:rsid w:val="76EE3827"/>
    <w:rsid w:val="771D2E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2020-05-10T14:44:20Z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