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0134-2023-Q-2024</w:t>
      </w:r>
      <w:bookmarkEnd w:id="0"/>
    </w:p>
    <w:p>
      <w:pPr>
        <w:spacing w:line="360"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（监督审核）</w:t>
      </w:r>
    </w:p>
    <w:p>
      <w:pPr>
        <w:jc w:val="left"/>
        <w:rPr>
          <w:sz w:val="32"/>
          <w:szCs w:val="32"/>
          <w:u w:val="single"/>
        </w:rPr>
      </w:pPr>
    </w:p>
    <w:p>
      <w:pPr>
        <w:jc w:val="center"/>
        <w:rPr>
          <w:sz w:val="32"/>
          <w:szCs w:val="32"/>
        </w:rPr>
      </w:pPr>
      <w:r>
        <w:rPr>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西安博瀚华源汽车科技有限公司</w:t>
      </w:r>
      <w:bookmarkEnd w:id="1"/>
    </w:p>
    <w:p>
      <w:pPr>
        <w:spacing w:line="360" w:lineRule="auto"/>
        <w:ind w:firstLine="2182" w:firstLineChars="103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121" w:leftChars="1486" w:firstLine="138" w:firstLineChars="60"/>
        <w:rPr>
          <w:u w:val="single"/>
        </w:rPr>
      </w:pPr>
      <w:r>
        <w:rPr>
          <w:rFonts w:hint="eastAsia"/>
          <w:color w:val="000000"/>
        </w:rPr>
        <w:t>□其他</w:t>
      </w:r>
    </w:p>
    <w:p>
      <w:pPr>
        <w:spacing w:line="480" w:lineRule="auto"/>
        <w:jc w:val="left"/>
      </w:pP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郭力</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报告日期：</w:t>
            </w:r>
          </w:p>
        </w:tc>
        <w:tc>
          <w:tcPr>
            <w:tcW w:w="4077" w:type="dxa"/>
            <w:tcBorders>
              <w:left w:val="nil"/>
              <w:right w:val="nil"/>
            </w:tcBorders>
            <w:vAlign w:val="center"/>
          </w:tcPr>
          <w:p>
            <w:pPr>
              <w:pStyle w:val="2"/>
              <w:ind w:firstLine="566" w:firstLineChars="245"/>
              <w:jc w:val="center"/>
            </w:pPr>
            <w:r>
              <w:rPr>
                <w:rFonts w:hint="eastAsia"/>
                <w:b/>
                <w:bCs w:val="0"/>
              </w:rPr>
              <w:t>年月日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31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spacing w:line="360" w:lineRule="exact"/>
        <w:jc w:val="center"/>
        <w:rPr>
          <w:b/>
          <w:sz w:val="28"/>
          <w:szCs w:val="28"/>
        </w:rPr>
      </w:pPr>
      <w:r>
        <w:rPr>
          <w:rFonts w:hint="eastAsia"/>
          <w:b/>
          <w:sz w:val="28"/>
          <w:szCs w:val="28"/>
        </w:rPr>
        <w:t>审核报告说明</w:t>
      </w:r>
    </w:p>
    <w:p>
      <w:pPr>
        <w:spacing w:line="380" w:lineRule="exac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hint="eastAsia" w:ascii="宋体" w:hAnsi="宋体"/>
          <w:szCs w:val="21"/>
        </w:rPr>
        <w:t xml:space="preserve">□ </w:t>
      </w:r>
      <w:r>
        <w:rPr>
          <w:rFonts w:hint="eastAsia"/>
          <w:szCs w:val="21"/>
        </w:rPr>
        <w:t>其他</w:t>
      </w:r>
    </w:p>
    <w:p>
      <w:pPr>
        <w:spacing w:line="380" w:lineRule="exact"/>
        <w:ind w:left="315" w:hanging="315" w:hangingChars="150"/>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pPr>
        <w:spacing w:line="380" w:lineRule="exact"/>
        <w:ind w:left="315" w:hanging="315" w:hangingChars="150"/>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rPr>
          <w:szCs w:val="21"/>
        </w:rPr>
      </w:pP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pStyle w:val="2"/>
        <w:spacing w:line="380" w:lineRule="exact"/>
      </w:pPr>
    </w:p>
    <w:p>
      <w:pPr>
        <w:spacing w:line="380" w:lineRule="exact"/>
        <w:ind w:left="315" w:leftChars="150"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spacing w:line="380" w:lineRule="exact"/>
        <w:ind w:left="420" w:leftChars="50"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pPr>
        <w:spacing w:line="380" w:lineRule="exact"/>
        <w:ind w:left="420" w:leftChars="50"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spacing w:line="380" w:lineRule="exact"/>
        <w:ind w:left="420" w:leftChars="50"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spacing w:line="380" w:lineRule="exact"/>
        <w:ind w:left="420" w:leftChars="50"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spacing w:line="380" w:lineRule="exact"/>
        <w:ind w:left="420" w:leftChars="50" w:hanging="315" w:hangingChars="150"/>
        <w:rPr>
          <w:szCs w:val="21"/>
        </w:rPr>
      </w:pPr>
      <w:r>
        <w:rPr>
          <w:rFonts w:hint="eastAsia"/>
          <w:szCs w:val="21"/>
        </w:rPr>
        <w:t>5．遵守《中华人民共和国认证认可条例》及相关规定，保证仅在ISC一个认证机构执业，不在认证咨询机构或以其它形式从事认证咨询活动。</w:t>
      </w:r>
    </w:p>
    <w:p>
      <w:pPr>
        <w:spacing w:line="380" w:lineRule="exact"/>
        <w:ind w:left="315" w:leftChars="50" w:hanging="210" w:hangingChars="100"/>
        <w:rPr>
          <w:szCs w:val="21"/>
        </w:rPr>
      </w:pPr>
      <w:r>
        <w:rPr>
          <w:rFonts w:hint="eastAsia"/>
          <w:szCs w:val="21"/>
        </w:rPr>
        <w:t>6．如因承诺人违反上述要求所造成的对受审核方和ISC的任何损失，由承诺人承担相应法律责任。</w:t>
      </w:r>
    </w:p>
    <w:p>
      <w:pPr>
        <w:spacing w:line="380" w:lineRule="exact"/>
        <w:ind w:firstLine="5040" w:firstLineChars="2400"/>
        <w:rPr>
          <w:szCs w:val="21"/>
        </w:rPr>
      </w:pPr>
      <w:r>
        <w:rPr>
          <w:rFonts w:hint="eastAsia"/>
          <w:szCs w:val="21"/>
        </w:rPr>
        <w:t>承诺人审核组长：</w:t>
      </w:r>
    </w:p>
    <w:p>
      <w:pPr>
        <w:spacing w:line="380" w:lineRule="exact"/>
        <w:ind w:firstLine="6405" w:firstLineChars="3050"/>
        <w:rPr>
          <w:szCs w:val="21"/>
        </w:rPr>
      </w:pPr>
      <w:r>
        <w:rPr>
          <w:rFonts w:hint="eastAsia"/>
          <w:szCs w:val="21"/>
        </w:rPr>
        <w:t>组员：</w:t>
      </w:r>
    </w:p>
    <w:p>
      <w:pPr>
        <w:pStyle w:val="2"/>
        <w:jc w:val="center"/>
      </w:pPr>
    </w:p>
    <w:p>
      <w:pPr>
        <w:pStyle w:val="2"/>
        <w:jc w:val="center"/>
      </w:pPr>
    </w:p>
    <w:p>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r>
              <w:rPr>
                <w:rFonts w:hint="eastAsia"/>
                <w:b/>
                <w:szCs w:val="21"/>
              </w:rPr>
              <w:t>序号</w:t>
            </w:r>
          </w:p>
        </w:tc>
        <w:tc>
          <w:tcPr>
            <w:tcW w:w="1247" w:type="dxa"/>
            <w:vAlign w:val="center"/>
          </w:tcPr>
          <w:p>
            <w:pPr>
              <w:spacing w:line="360" w:lineRule="auto"/>
              <w:jc w:val="center"/>
              <w:rPr>
                <w:b/>
                <w:szCs w:val="21"/>
              </w:rPr>
            </w:pPr>
            <w:r>
              <w:rPr>
                <w:rFonts w:hint="eastAsia"/>
                <w:b/>
                <w:szCs w:val="21"/>
              </w:rPr>
              <w:t>姓名</w:t>
            </w:r>
          </w:p>
        </w:tc>
        <w:tc>
          <w:tcPr>
            <w:tcW w:w="1051" w:type="dxa"/>
            <w:vAlign w:val="center"/>
          </w:tcPr>
          <w:p>
            <w:pPr>
              <w:spacing w:line="360" w:lineRule="auto"/>
              <w:jc w:val="center"/>
              <w:rPr>
                <w:b/>
                <w:szCs w:val="21"/>
              </w:rPr>
            </w:pPr>
            <w:r>
              <w:rPr>
                <w:rFonts w:hint="eastAsia"/>
                <w:b/>
                <w:szCs w:val="21"/>
              </w:rPr>
              <w:t>组内职务</w:t>
            </w:r>
          </w:p>
        </w:tc>
        <w:tc>
          <w:tcPr>
            <w:tcW w:w="1466" w:type="dxa"/>
            <w:vAlign w:val="center"/>
          </w:tcPr>
          <w:p>
            <w:pPr>
              <w:spacing w:line="360" w:lineRule="auto"/>
              <w:jc w:val="center"/>
              <w:rPr>
                <w:b/>
                <w:szCs w:val="21"/>
              </w:rPr>
            </w:pPr>
            <w:r>
              <w:rPr>
                <w:rFonts w:hint="eastAsia"/>
                <w:b/>
                <w:szCs w:val="21"/>
              </w:rPr>
              <w:t>注册级别</w:t>
            </w:r>
          </w:p>
        </w:tc>
        <w:tc>
          <w:tcPr>
            <w:tcW w:w="2268" w:type="dxa"/>
            <w:vAlign w:val="center"/>
          </w:tcPr>
          <w:p>
            <w:pPr>
              <w:spacing w:line="360" w:lineRule="auto"/>
              <w:jc w:val="center"/>
              <w:rPr>
                <w:b/>
                <w:szCs w:val="21"/>
              </w:rPr>
            </w:pPr>
            <w:r>
              <w:rPr>
                <w:rFonts w:hint="eastAsia"/>
                <w:b/>
                <w:szCs w:val="21"/>
              </w:rPr>
              <w:t>审核员注册证书号</w:t>
            </w:r>
          </w:p>
        </w:tc>
        <w:tc>
          <w:tcPr>
            <w:tcW w:w="3145" w:type="dxa"/>
            <w:vAlign w:val="center"/>
          </w:tcPr>
          <w:p>
            <w:pPr>
              <w:spacing w:line="360" w:lineRule="auto"/>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p>
        </w:tc>
        <w:tc>
          <w:tcPr>
            <w:tcW w:w="1247" w:type="dxa"/>
            <w:vAlign w:val="center"/>
          </w:tcPr>
          <w:p>
            <w:pPr>
              <w:spacing w:line="360" w:lineRule="auto"/>
              <w:jc w:val="center"/>
              <w:rPr>
                <w:b/>
                <w:szCs w:val="21"/>
              </w:rPr>
            </w:pPr>
            <w:r>
              <w:rPr>
                <w:b/>
                <w:szCs w:val="21"/>
              </w:rPr>
              <w:t>郭力</w:t>
            </w:r>
          </w:p>
        </w:tc>
        <w:tc>
          <w:tcPr>
            <w:tcW w:w="1051" w:type="dxa"/>
            <w:vAlign w:val="center"/>
          </w:tcPr>
          <w:p>
            <w:pPr>
              <w:spacing w:line="360" w:lineRule="auto"/>
              <w:jc w:val="center"/>
              <w:rPr>
                <w:b/>
                <w:szCs w:val="21"/>
              </w:rPr>
            </w:pPr>
            <w:r>
              <w:rPr>
                <w:b/>
                <w:szCs w:val="21"/>
              </w:rPr>
              <w:t>组长</w:t>
            </w:r>
          </w:p>
        </w:tc>
        <w:tc>
          <w:tcPr>
            <w:tcW w:w="1466" w:type="dxa"/>
            <w:vAlign w:val="center"/>
          </w:tcPr>
          <w:p>
            <w:pPr>
              <w:spacing w:line="360" w:lineRule="auto"/>
              <w:jc w:val="center"/>
              <w:rPr>
                <w:b/>
                <w:szCs w:val="21"/>
              </w:rPr>
            </w:pPr>
            <w:r>
              <w:rPr>
                <w:b/>
                <w:szCs w:val="21"/>
              </w:rPr>
              <w:t>审核员</w:t>
            </w:r>
          </w:p>
        </w:tc>
        <w:tc>
          <w:tcPr>
            <w:tcW w:w="2268" w:type="dxa"/>
            <w:vAlign w:val="center"/>
          </w:tcPr>
          <w:p>
            <w:pPr>
              <w:spacing w:line="360" w:lineRule="auto"/>
              <w:jc w:val="center"/>
              <w:rPr>
                <w:b/>
                <w:szCs w:val="21"/>
              </w:rPr>
            </w:pPr>
            <w:r>
              <w:rPr>
                <w:b/>
                <w:szCs w:val="21"/>
              </w:rPr>
              <w:t>2023-N1QMS-2263290</w:t>
            </w:r>
          </w:p>
        </w:tc>
        <w:tc>
          <w:tcPr>
            <w:tcW w:w="3145" w:type="dxa"/>
            <w:vAlign w:val="center"/>
          </w:tcPr>
          <w:p>
            <w:pPr>
              <w:spacing w:line="360" w:lineRule="auto"/>
              <w:jc w:val="center"/>
              <w:rPr>
                <w:b/>
                <w:szCs w:val="21"/>
              </w:rPr>
            </w:pPr>
            <w:bookmarkStart w:id="34" w:name="_GoBack"/>
            <w:bookmarkEnd w:id="34"/>
            <w:r>
              <w:rPr>
                <w:b/>
                <w:szCs w:val="21"/>
              </w:rPr>
              <w:t>29.03.01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rPr>
                <w:szCs w:val="21"/>
              </w:rPr>
            </w:pPr>
          </w:p>
        </w:tc>
        <w:tc>
          <w:tcPr>
            <w:tcW w:w="1466" w:type="dxa"/>
            <w:vAlign w:val="center"/>
          </w:tcPr>
          <w:p>
            <w:pPr>
              <w:spacing w:line="360" w:lineRule="auto"/>
              <w:jc w:val="center"/>
              <w:rPr>
                <w:szCs w:val="21"/>
              </w:rPr>
            </w:pPr>
          </w:p>
        </w:tc>
        <w:tc>
          <w:tcPr>
            <w:tcW w:w="2268" w:type="dxa"/>
            <w:vAlign w:val="center"/>
          </w:tcPr>
          <w:p>
            <w:pPr>
              <w:spacing w:line="360" w:lineRule="auto"/>
              <w:jc w:val="center"/>
              <w:rPr>
                <w:szCs w:val="21"/>
              </w:rPr>
            </w:pPr>
          </w:p>
        </w:tc>
        <w:tc>
          <w:tcPr>
            <w:tcW w:w="3145" w:type="dxa"/>
            <w:vAlign w:val="center"/>
          </w:tcPr>
          <w:p>
            <w:pPr>
              <w:spacing w:line="360" w:lineRule="auto"/>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pPr>
          </w:p>
        </w:tc>
        <w:tc>
          <w:tcPr>
            <w:tcW w:w="1466" w:type="dxa"/>
            <w:vAlign w:val="center"/>
          </w:tcPr>
          <w:p>
            <w:pPr>
              <w:spacing w:line="360" w:lineRule="auto"/>
              <w:jc w:val="center"/>
            </w:pPr>
          </w:p>
        </w:tc>
        <w:tc>
          <w:tcPr>
            <w:tcW w:w="2268" w:type="dxa"/>
            <w:vAlign w:val="center"/>
          </w:tcPr>
          <w:p>
            <w:pPr>
              <w:spacing w:line="360" w:lineRule="auto"/>
              <w:jc w:val="center"/>
            </w:pPr>
          </w:p>
        </w:tc>
        <w:tc>
          <w:tcPr>
            <w:tcW w:w="3145" w:type="dxa"/>
            <w:vAlign w:val="center"/>
          </w:tcPr>
          <w:p>
            <w:pPr>
              <w:spacing w:line="360" w:lineRule="auto"/>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pPr>
          </w:p>
        </w:tc>
        <w:tc>
          <w:tcPr>
            <w:tcW w:w="1466" w:type="dxa"/>
            <w:vAlign w:val="center"/>
          </w:tcPr>
          <w:p>
            <w:pPr>
              <w:spacing w:line="360" w:lineRule="auto"/>
              <w:jc w:val="center"/>
            </w:pPr>
          </w:p>
        </w:tc>
        <w:tc>
          <w:tcPr>
            <w:tcW w:w="2268" w:type="dxa"/>
            <w:vAlign w:val="center"/>
          </w:tcPr>
          <w:p>
            <w:pPr>
              <w:spacing w:line="360" w:lineRule="auto"/>
              <w:jc w:val="center"/>
            </w:pPr>
          </w:p>
        </w:tc>
        <w:tc>
          <w:tcPr>
            <w:tcW w:w="3145" w:type="dxa"/>
            <w:vAlign w:val="center"/>
          </w:tcPr>
          <w:p>
            <w:pPr>
              <w:spacing w:line="360" w:lineRule="auto"/>
              <w:jc w:val="cente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auto"/>
              <w:jc w:val="center"/>
              <w:rPr>
                <w:b/>
                <w:szCs w:val="21"/>
              </w:rPr>
            </w:pPr>
            <w:r>
              <w:rPr>
                <w:rFonts w:hint="eastAsia"/>
                <w:b/>
                <w:szCs w:val="21"/>
              </w:rPr>
              <w:t>序号</w:t>
            </w:r>
          </w:p>
        </w:tc>
        <w:tc>
          <w:tcPr>
            <w:tcW w:w="3626" w:type="dxa"/>
            <w:vAlign w:val="center"/>
          </w:tcPr>
          <w:p>
            <w:pPr>
              <w:spacing w:line="360" w:lineRule="auto"/>
              <w:jc w:val="center"/>
              <w:rPr>
                <w:b/>
                <w:szCs w:val="21"/>
              </w:rPr>
            </w:pPr>
            <w:r>
              <w:rPr>
                <w:rFonts w:hint="eastAsia"/>
                <w:b/>
                <w:szCs w:val="21"/>
              </w:rPr>
              <w:t>姓名</w:t>
            </w:r>
          </w:p>
        </w:tc>
        <w:tc>
          <w:tcPr>
            <w:tcW w:w="2410" w:type="dxa"/>
            <w:vAlign w:val="center"/>
          </w:tcPr>
          <w:p>
            <w:pPr>
              <w:spacing w:line="360" w:lineRule="auto"/>
              <w:jc w:val="center"/>
              <w:rPr>
                <w:b/>
                <w:szCs w:val="21"/>
              </w:rPr>
            </w:pPr>
            <w:r>
              <w:rPr>
                <w:rFonts w:hint="eastAsia"/>
                <w:b/>
                <w:szCs w:val="21"/>
              </w:rPr>
              <w:t>审核中的作用</w:t>
            </w:r>
          </w:p>
        </w:tc>
        <w:tc>
          <w:tcPr>
            <w:tcW w:w="3145" w:type="dxa"/>
            <w:vAlign w:val="center"/>
          </w:tcPr>
          <w:p>
            <w:pPr>
              <w:spacing w:line="360" w:lineRule="auto"/>
              <w:jc w:val="center"/>
              <w:rPr>
                <w:b/>
                <w:szCs w:val="21"/>
              </w:rPr>
            </w:pPr>
            <w:r>
              <w:rPr>
                <w:rFonts w:hint="eastAsia"/>
                <w:b/>
                <w:szCs w:val="21"/>
              </w:rPr>
              <w:t>来自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auto"/>
              <w:jc w:val="center"/>
              <w:rPr>
                <w:szCs w:val="21"/>
              </w:rPr>
            </w:pPr>
            <w:r>
              <w:rPr>
                <w:rFonts w:hint="eastAsia"/>
                <w:szCs w:val="21"/>
              </w:rPr>
              <w:t>1</w:t>
            </w:r>
          </w:p>
        </w:tc>
        <w:tc>
          <w:tcPr>
            <w:tcW w:w="3626" w:type="dxa"/>
            <w:vAlign w:val="center"/>
          </w:tcPr>
          <w:p>
            <w:pPr>
              <w:spacing w:line="360" w:lineRule="auto"/>
              <w:jc w:val="center"/>
              <w:rPr>
                <w:szCs w:val="21"/>
              </w:rPr>
            </w:pPr>
          </w:p>
        </w:tc>
        <w:tc>
          <w:tcPr>
            <w:tcW w:w="2410" w:type="dxa"/>
            <w:vAlign w:val="center"/>
          </w:tcPr>
          <w:p>
            <w:pPr>
              <w:spacing w:line="360" w:lineRule="auto"/>
              <w:jc w:val="center"/>
              <w:rPr>
                <w:szCs w:val="21"/>
              </w:rPr>
            </w:pPr>
            <w:r>
              <w:rPr>
                <w:rFonts w:hint="eastAsia"/>
                <w:szCs w:val="21"/>
              </w:rPr>
              <w:t>向导</w:t>
            </w:r>
          </w:p>
        </w:tc>
        <w:tc>
          <w:tcPr>
            <w:tcW w:w="3145" w:type="dxa"/>
            <w:vAlign w:val="center"/>
          </w:tcPr>
          <w:p>
            <w:pPr>
              <w:spacing w:line="360" w:lineRule="auto"/>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auto"/>
              <w:jc w:val="center"/>
              <w:rPr>
                <w:szCs w:val="21"/>
              </w:rPr>
            </w:pPr>
            <w:r>
              <w:rPr>
                <w:rFonts w:hint="eastAsia"/>
                <w:szCs w:val="21"/>
              </w:rPr>
              <w:t>2</w:t>
            </w:r>
          </w:p>
        </w:tc>
        <w:tc>
          <w:tcPr>
            <w:tcW w:w="3626" w:type="dxa"/>
            <w:vAlign w:val="center"/>
          </w:tcPr>
          <w:p>
            <w:pPr>
              <w:spacing w:line="360" w:lineRule="auto"/>
              <w:jc w:val="center"/>
              <w:rPr>
                <w:szCs w:val="21"/>
              </w:rPr>
            </w:pPr>
          </w:p>
        </w:tc>
        <w:tc>
          <w:tcPr>
            <w:tcW w:w="2410" w:type="dxa"/>
            <w:vAlign w:val="center"/>
          </w:tcPr>
          <w:p>
            <w:pPr>
              <w:spacing w:line="360" w:lineRule="auto"/>
              <w:jc w:val="center"/>
              <w:rPr>
                <w:szCs w:val="21"/>
              </w:rPr>
            </w:pPr>
            <w:r>
              <w:rPr>
                <w:rFonts w:hint="eastAsia"/>
                <w:szCs w:val="21"/>
              </w:rPr>
              <w:t>观察员</w:t>
            </w:r>
          </w:p>
        </w:tc>
        <w:tc>
          <w:tcPr>
            <w:tcW w:w="3145" w:type="dxa"/>
            <w:vAlign w:val="center"/>
          </w:tcPr>
          <w:p>
            <w:pPr>
              <w:spacing w:line="360" w:lineRule="auto"/>
              <w:jc w:val="center"/>
              <w:rPr>
                <w:szCs w:val="21"/>
              </w:rP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pPr>
        <w:spacing w:line="360" w:lineRule="auto"/>
        <w:ind w:firstLine="420" w:firstLineChars="200"/>
        <w:jc w:val="left"/>
        <w:rPr>
          <w:szCs w:val="21"/>
        </w:rPr>
      </w:pPr>
      <w:r>
        <w:rPr>
          <w:rFonts w:hint="eastAsia" w:hAnsi="宋体"/>
          <w:szCs w:val="21"/>
        </w:rPr>
        <w:t>本次审核目的是组织获得（</w:t>
      </w:r>
      <w:bookmarkStart w:id="10" w:name="认证领域"/>
      <w:r>
        <w:rPr>
          <w:rFonts w:hint="eastAsia" w:cs="宋体"/>
          <w:b/>
          <w:kern w:val="0"/>
          <w:szCs w:val="21"/>
        </w:rPr>
        <w:t>质量管理体系</w:t>
      </w:r>
      <w:bookmarkEnd w:id="10"/>
      <w:r>
        <w:rPr>
          <w:rFonts w:hint="eastAsia" w:cs="宋体"/>
          <w:b/>
          <w:kern w:val="0"/>
          <w:szCs w:val="21"/>
        </w:rPr>
        <w:t>）</w:t>
      </w:r>
      <w:r>
        <w:rPr>
          <w:rFonts w:hint="eastAsia" w:hAnsi="宋体"/>
          <w:szCs w:val="21"/>
        </w:rPr>
        <w:t>认证后，进行第</w:t>
      </w:r>
      <w:bookmarkStart w:id="11" w:name="监督次数"/>
      <w:r>
        <w:rPr>
          <w:rFonts w:hint="eastAsia" w:hAnsi="宋体"/>
          <w:szCs w:val="21"/>
        </w:rPr>
        <w:t>一</w:t>
      </w:r>
      <w:bookmarkEnd w:id="11"/>
      <w:r>
        <w:rPr>
          <w:rFonts w:hint="eastAsia" w:hAnsi="宋体"/>
          <w:szCs w:val="21"/>
        </w:rPr>
        <w:t>次监督审核</w:t>
      </w:r>
      <w:r>
        <w:rPr>
          <w:rFonts w:hint="eastAsia" w:cs="宋体"/>
          <w:b/>
          <w:kern w:val="0"/>
          <w:szCs w:val="21"/>
        </w:rPr>
        <w:t>□</w:t>
      </w:r>
      <w:r>
        <w:rPr>
          <w:rFonts w:hint="eastAsia" w:hAnsi="宋体"/>
          <w:szCs w:val="21"/>
        </w:rPr>
        <w:t>证书暂停后恢复</w:t>
      </w:r>
      <w:r>
        <w:rPr>
          <w:rFonts w:hint="eastAsia" w:cs="宋体"/>
          <w:b/>
          <w:kern w:val="0"/>
          <w:szCs w:val="21"/>
        </w:rPr>
        <w:t>□</w:t>
      </w:r>
      <w:r>
        <w:rPr>
          <w:rFonts w:hint="eastAsia" w:hAnsi="宋体"/>
          <w:szCs w:val="21"/>
        </w:rPr>
        <w:t>其他特殊审核请注明：</w:t>
      </w:r>
    </w:p>
    <w:p>
      <w:pPr>
        <w:tabs>
          <w:tab w:val="left" w:pos="2552"/>
        </w:tabs>
        <w:spacing w:line="360" w:lineRule="auto"/>
        <w:ind w:firstLine="420" w:firstLineChars="200"/>
        <w:jc w:val="left"/>
        <w:rPr>
          <w:szCs w:val="21"/>
        </w:rPr>
      </w:pPr>
      <w:r>
        <w:rPr>
          <w:rFonts w:hint="eastAsia" w:hAnsi="宋体"/>
          <w:szCs w:val="21"/>
        </w:rPr>
        <w:t>审核通过检查受审核方的组织结构、运作情况和程序文件，以证实组织是否按照产品标准、服务规范和相关规定运作</w:t>
      </w:r>
      <w:r>
        <w:rPr>
          <w:rFonts w:hint="eastAsia"/>
          <w:szCs w:val="21"/>
        </w:rPr>
        <w:t xml:space="preserve">, </w:t>
      </w:r>
      <w:r>
        <w:rPr>
          <w:rFonts w:hint="eastAsia" w:hAnsi="宋体"/>
          <w:szCs w:val="21"/>
        </w:rPr>
        <w:t>能否保持并持续改进管理体系，评价其符合认证准则要求的程度，从而确定是否</w:t>
      </w:r>
      <w:r>
        <w:rPr>
          <w:rFonts w:hint="eastAsia" w:cs="宋体"/>
          <w:b/>
          <w:kern w:val="0"/>
          <w:szCs w:val="21"/>
        </w:rPr>
        <w:t>□</w:t>
      </w:r>
      <w:r>
        <w:rPr>
          <w:rFonts w:hint="eastAsia" w:hAnsi="宋体"/>
          <w:szCs w:val="21"/>
        </w:rPr>
        <w:t>暂停原因已消除，恢复认证注册</w:t>
      </w:r>
      <w:r>
        <w:rPr>
          <w:rFonts w:hint="eastAsia"/>
          <w:szCs w:val="21"/>
        </w:rPr>
        <w:t>，</w:t>
      </w:r>
      <w:r>
        <w:rPr>
          <w:rFonts w:hint="eastAsia" w:ascii="宋体" w:hAnsi="宋体" w:cs="宋体"/>
          <w:b/>
          <w:kern w:val="0"/>
          <w:szCs w:val="21"/>
        </w:rPr>
        <w:t>■</w:t>
      </w:r>
      <w:r>
        <w:rPr>
          <w:rFonts w:hint="eastAsia" w:hAnsi="宋体"/>
          <w:szCs w:val="21"/>
        </w:rPr>
        <w:t>保持认证资格。</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10"/>
        <w:tblW w:w="0" w:type="auto"/>
        <w:tblInd w:w="392"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13" w:name="_Hlk111121278"/>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bookmarkEnd w:id="13"/>
      <w:r>
        <w:rPr>
          <w:rFonts w:hint="eastAsia"/>
          <w:color w:val="auto"/>
          <w:kern w:val="2"/>
          <w:sz w:val="21"/>
          <w:szCs w:val="21"/>
        </w:rPr>
        <w:t>；</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14" w:name="_Toc199916228"/>
      <w:bookmarkStart w:id="15" w:name="_Toc200428866"/>
    </w:p>
    <w:p>
      <w:pPr>
        <w:pStyle w:val="26"/>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14"/>
      <w:bookmarkEnd w:id="15"/>
      <w:r>
        <w:rPr>
          <w:rFonts w:hint="eastAsia"/>
          <w:b/>
          <w:color w:val="auto"/>
          <w:kern w:val="2"/>
          <w:sz w:val="21"/>
          <w:lang w:val="en-GB"/>
        </w:rPr>
        <w:t>实施过程概述</w:t>
      </w:r>
    </w:p>
    <w:p>
      <w:pPr>
        <w:pStyle w:val="26"/>
        <w:spacing w:line="360" w:lineRule="auto"/>
        <w:jc w:val="both"/>
        <w:outlineLvl w:val="1"/>
        <w:rPr>
          <w:color w:val="auto"/>
          <w:kern w:val="2"/>
          <w:sz w:val="21"/>
          <w:szCs w:val="21"/>
        </w:rPr>
      </w:pPr>
      <w:r>
        <w:rPr>
          <w:rFonts w:hint="eastAsia"/>
          <w:b/>
          <w:color w:val="auto"/>
          <w:kern w:val="2"/>
          <w:sz w:val="21"/>
          <w:szCs w:val="21"/>
        </w:rPr>
        <w:t>1.5.1 审核时间：</w:t>
      </w:r>
      <w:bookmarkStart w:id="16" w:name="审核日期"/>
      <w:r>
        <w:rPr>
          <w:rFonts w:hint="eastAsia"/>
          <w:color w:val="auto"/>
          <w:kern w:val="2"/>
          <w:sz w:val="21"/>
          <w:szCs w:val="21"/>
        </w:rPr>
        <w:t>2024年03月12日 上午至2024年03月13日 上午</w:t>
      </w:r>
      <w:bookmarkEnd w:id="16"/>
      <w:r>
        <w:rPr>
          <w:rFonts w:hint="eastAsia"/>
          <w:color w:val="auto"/>
          <w:kern w:val="2"/>
          <w:sz w:val="21"/>
          <w:szCs w:val="21"/>
        </w:rPr>
        <w:t>实施审核。</w:t>
      </w:r>
    </w:p>
    <w:p>
      <w:pPr>
        <w:pStyle w:val="26"/>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7" w:name="现场审核勾选"/>
      <w:r>
        <w:rPr>
          <w:rFonts w:hint="eastAsia" w:ascii="宋体" w:hAnsi="宋体" w:cs="宋体"/>
          <w:sz w:val="21"/>
          <w:szCs w:val="21"/>
        </w:rPr>
        <w:t>■</w:t>
      </w:r>
      <w:bookmarkEnd w:id="17"/>
      <w:r>
        <w:rPr>
          <w:rFonts w:hint="eastAsia" w:ascii="宋体" w:hAnsi="宋体" w:cs="宋体"/>
          <w:sz w:val="21"/>
          <w:szCs w:val="21"/>
        </w:rPr>
        <w:t xml:space="preserve">现场审核   </w:t>
      </w:r>
      <w:bookmarkStart w:id="18" w:name="远程审核勾选"/>
      <w:r>
        <w:rPr>
          <w:rFonts w:hint="eastAsia" w:ascii="宋体" w:hAnsi="宋体" w:cs="宋体"/>
          <w:sz w:val="21"/>
          <w:szCs w:val="21"/>
        </w:rPr>
        <w:t>□</w:t>
      </w:r>
      <w:bookmarkEnd w:id="18"/>
      <w:r>
        <w:rPr>
          <w:rFonts w:hint="eastAsia" w:ascii="宋体" w:hAnsi="宋体" w:cs="宋体"/>
          <w:sz w:val="21"/>
          <w:szCs w:val="21"/>
        </w:rPr>
        <w:t xml:space="preserve">远程审核   </w:t>
      </w:r>
      <w:bookmarkStart w:id="19" w:name="现场与远程审核勾选"/>
      <w:r>
        <w:rPr>
          <w:rFonts w:hint="eastAsia" w:ascii="宋体" w:hAnsi="宋体" w:cs="宋体"/>
          <w:sz w:val="21"/>
          <w:szCs w:val="21"/>
        </w:rPr>
        <w:t>□</w:t>
      </w:r>
      <w:bookmarkEnd w:id="19"/>
      <w:r>
        <w:rPr>
          <w:rFonts w:hint="eastAsia" w:ascii="宋体" w:hAnsi="宋体" w:cs="宋体"/>
          <w:sz w:val="21"/>
          <w:szCs w:val="21"/>
        </w:rPr>
        <w:t>现场结合远程审核</w:t>
      </w:r>
    </w:p>
    <w:p>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outlineLvl w:val="1"/>
        <w:rPr>
          <w:color w:val="auto"/>
          <w:kern w:val="2"/>
          <w:sz w:val="21"/>
          <w:szCs w:val="21"/>
        </w:rPr>
      </w:pPr>
    </w:p>
    <w:p>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auto"/>
        <w:ind w:firstLine="420" w:firstLineChars="200"/>
      </w:pPr>
      <w:bookmarkStart w:id="20" w:name="_Hlk131589579"/>
      <w:r>
        <w:rPr>
          <w:rFonts w:hint="eastAsia"/>
        </w:rPr>
        <w:t>注册地址：</w:t>
      </w:r>
      <w:bookmarkStart w:id="21" w:name="注册地址"/>
      <w:r>
        <w:t>陕西省西安市碑林区火炬路碑林科技产业园4号厂房1幢1单元10602室</w:t>
      </w:r>
      <w:bookmarkEnd w:id="21"/>
    </w:p>
    <w:p>
      <w:pPr>
        <w:spacing w:line="360" w:lineRule="auto"/>
        <w:ind w:firstLine="420" w:firstLineChars="200"/>
      </w:pPr>
      <w:r>
        <w:rPr>
          <w:rFonts w:hint="eastAsia"/>
        </w:rPr>
        <w:t>办公地址：</w:t>
      </w:r>
    </w:p>
    <w:p>
      <w:pPr>
        <w:spacing w:line="360" w:lineRule="auto"/>
        <w:ind w:firstLine="420" w:firstLineChars="200"/>
      </w:pPr>
      <w:r>
        <w:rPr>
          <w:rFonts w:hint="eastAsia"/>
        </w:rPr>
        <w:t>经营地址：</w:t>
      </w:r>
      <w:bookmarkStart w:id="22" w:name="生产地址"/>
      <w:r>
        <w:t>陕西省西安市碑林区火炬路碑林科技产业园4号厂房1幢1单元10602室</w:t>
      </w:r>
      <w:bookmarkEnd w:id="22"/>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20"/>
    <w:p>
      <w:pPr>
        <w:pStyle w:val="26"/>
        <w:spacing w:line="360" w:lineRule="auto"/>
        <w:jc w:val="both"/>
        <w:outlineLvl w:val="1"/>
        <w:rPr>
          <w:color w:val="auto"/>
          <w:kern w:val="2"/>
          <w:sz w:val="21"/>
        </w:rPr>
      </w:pPr>
      <w:r>
        <w:rPr>
          <w:rFonts w:hint="eastAsia"/>
          <w:b/>
          <w:color w:val="auto"/>
          <w:kern w:val="2"/>
          <w:sz w:val="21"/>
          <w:szCs w:val="21"/>
        </w:rPr>
        <w:t xml:space="preserve">1.5.4 </w:t>
      </w:r>
      <w:r>
        <w:rPr>
          <w:rFonts w:hint="eastAsia" w:hAnsi="宋体"/>
          <w:b/>
          <w:color w:val="auto"/>
          <w:kern w:val="2"/>
          <w:sz w:val="21"/>
          <w:szCs w:val="21"/>
        </w:rPr>
        <w:t>恢复认证审核的信息（暂停恢复审核时适用）</w:t>
      </w:r>
    </w:p>
    <w:p>
      <w:pPr>
        <w:spacing w:line="360" w:lineRule="auto"/>
        <w:ind w:left="426"/>
      </w:pPr>
      <w:r>
        <w:rPr>
          <w:rFonts w:hint="eastAsia"/>
        </w:rPr>
        <w:t>暂停原因：</w:t>
      </w:r>
    </w:p>
    <w:p>
      <w:pPr>
        <w:spacing w:line="360" w:lineRule="auto"/>
        <w:ind w:left="426"/>
      </w:pPr>
      <w:r>
        <w:rPr>
          <w:rFonts w:hint="eastAsia"/>
        </w:rPr>
        <w:t>暂停期间体系运行情况及认证资格使用情况：</w:t>
      </w:r>
    </w:p>
    <w:p>
      <w:pPr>
        <w:spacing w:line="360" w:lineRule="auto"/>
        <w:ind w:left="426"/>
        <w:rPr>
          <w:b/>
          <w:szCs w:val="21"/>
        </w:rPr>
      </w:pPr>
      <w:r>
        <w:rPr>
          <w:rFonts w:hint="eastAsia"/>
        </w:rPr>
        <w:t>经现场审核，暂停证书的原因是否消除：</w:t>
      </w:r>
    </w:p>
    <w:p>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pPr>
        <w:pStyle w:val="26"/>
        <w:spacing w:line="360" w:lineRule="auto"/>
        <w:jc w:val="both"/>
        <w:outlineLvl w:val="1"/>
        <w:rPr>
          <w:color w:val="auto"/>
          <w:kern w:val="2"/>
          <w:sz w:val="21"/>
          <w:szCs w:val="21"/>
        </w:rPr>
      </w:pPr>
      <w:r>
        <w:rPr>
          <w:rFonts w:hint="eastAsia"/>
          <w:color w:val="auto"/>
          <w:kern w:val="2"/>
          <w:sz w:val="21"/>
          <w:szCs w:val="21"/>
        </w:rPr>
        <w:t>1）审核计划的调整：</w:t>
      </w:r>
      <w:r>
        <w:rPr>
          <w:rFonts w:hint="eastAsia" w:cs="宋体"/>
          <w:b/>
          <w:color w:val="auto"/>
          <w:sz w:val="21"/>
          <w:szCs w:val="21"/>
        </w:rPr>
        <w:t>□</w:t>
      </w:r>
      <w:r>
        <w:rPr>
          <w:rFonts w:hint="eastAsia"/>
          <w:color w:val="auto"/>
          <w:kern w:val="2"/>
          <w:sz w:val="21"/>
          <w:szCs w:val="21"/>
        </w:rPr>
        <w:t>未调整；</w:t>
      </w:r>
      <w:r>
        <w:rPr>
          <w:rFonts w:hint="eastAsia" w:cs="宋体"/>
          <w:b/>
          <w:color w:val="auto"/>
          <w:sz w:val="21"/>
          <w:szCs w:val="21"/>
        </w:rPr>
        <w:t>□</w:t>
      </w:r>
      <w:r>
        <w:rPr>
          <w:rFonts w:hint="eastAsia"/>
          <w:color w:val="auto"/>
          <w:kern w:val="2"/>
          <w:sz w:val="21"/>
          <w:szCs w:val="21"/>
        </w:rPr>
        <w:t>有调整，调整情况：</w:t>
      </w:r>
    </w:p>
    <w:p>
      <w:pPr>
        <w:spacing w:line="360" w:lineRule="auto"/>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审核中提出严重不符合项（）项，轻微不符合项（）项，涉及部门/条款: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pPr>
        <w:tabs>
          <w:tab w:val="left" w:pos="2552"/>
        </w:tabs>
        <w:spacing w:line="360" w:lineRule="auto"/>
        <w:ind w:left="420" w:leftChars="200"/>
      </w:pPr>
      <w:r>
        <w:rPr>
          <w:rFonts w:hint="eastAsia"/>
        </w:rPr>
        <w:t>双方商定的不符合项整改时限：年月日前提交审核组长。</w:t>
      </w:r>
    </w:p>
    <w:p>
      <w:pPr>
        <w:tabs>
          <w:tab w:val="left" w:pos="2552"/>
        </w:tabs>
        <w:spacing w:line="360" w:lineRule="auto"/>
        <w:ind w:left="420" w:leftChars="200"/>
        <w:rPr>
          <w:szCs w:val="21"/>
        </w:rPr>
      </w:pPr>
      <w:r>
        <w:rPr>
          <w:rFonts w:hint="eastAsia"/>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2）风险提示：</w:t>
      </w:r>
    </w:p>
    <w:p>
      <w:pPr>
        <w:spacing w:line="360" w:lineRule="auto"/>
        <w:rPr>
          <w:szCs w:val="21"/>
        </w:rPr>
      </w:pPr>
    </w:p>
    <w:p>
      <w:pPr>
        <w:spacing w:line="360" w:lineRule="auto"/>
        <w:rPr>
          <w:b/>
          <w:bCs/>
          <w:szCs w:val="21"/>
        </w:rPr>
      </w:pPr>
      <w:r>
        <w:rPr>
          <w:rFonts w:hint="eastAsia"/>
          <w:b/>
          <w:bCs/>
          <w:szCs w:val="21"/>
        </w:rPr>
        <w:t>1.5.8 本次审核未解决的分歧意见及其他未尽事宜：</w:t>
      </w:r>
    </w:p>
    <w:p>
      <w:pPr>
        <w:spacing w:line="360" w:lineRule="auto"/>
        <w:rPr>
          <w:szCs w:val="21"/>
        </w:rPr>
      </w:pPr>
    </w:p>
    <w:p>
      <w:pPr>
        <w:pStyle w:val="2"/>
        <w:spacing w:line="360" w:lineRule="auto"/>
      </w:pPr>
    </w:p>
    <w:p>
      <w:pPr>
        <w:pStyle w:val="26"/>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pPr>
        <w:pStyle w:val="26"/>
        <w:spacing w:line="360" w:lineRule="auto"/>
        <w:rPr>
          <w:b/>
          <w:color w:val="auto"/>
          <w:kern w:val="2"/>
          <w:sz w:val="21"/>
          <w:lang w:val="en-GB"/>
        </w:rPr>
      </w:pPr>
      <w:r>
        <w:rPr>
          <w:rFonts w:hint="eastAsia"/>
          <w:b/>
          <w:color w:val="auto"/>
          <w:kern w:val="2"/>
          <w:sz w:val="21"/>
          <w:szCs w:val="21"/>
        </w:rPr>
        <w:t xml:space="preserve">2.1 </w:t>
      </w:r>
      <w:r>
        <w:rPr>
          <w:rFonts w:hint="eastAsia" w:hAnsi="宋体"/>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spacing w:line="360" w:lineRule="auto"/>
        <w:rPr>
          <w:b/>
          <w:lang w:val="en-GB"/>
        </w:rPr>
      </w:pPr>
      <w:r>
        <w:rPr>
          <w:rFonts w:hint="eastAsia"/>
          <w:b/>
          <w:szCs w:val="21"/>
        </w:rPr>
        <w:t xml:space="preserve">2.2 </w:t>
      </w:r>
      <w:r>
        <w:rPr>
          <w:rFonts w:hint="eastAsia" w:hAnsi="宋体"/>
          <w:b/>
          <w:szCs w:val="21"/>
        </w:rPr>
        <w:t>重要审核点的监测及绩效</w:t>
      </w:r>
      <w:r>
        <w:rPr>
          <w:rFonts w:ascii="Wingdings" w:hAnsi="Wingdings" w:cs="Wingdings"/>
          <w:color w:val="000000"/>
          <w:kern w:val="0"/>
          <w:szCs w:val="21"/>
        </w:rPr>
        <w:t>¨</w:t>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r>
              <w:rPr>
                <w:rFonts w:hint="eastAsia" w:hAnsi="宋体"/>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pPr>
              <w:pStyle w:val="26"/>
              <w:spacing w:before="156" w:beforeLines="50" w:after="156" w:afterLines="50" w:line="360" w:lineRule="auto"/>
              <w:rPr>
                <w:b/>
                <w:color w:val="auto"/>
                <w:kern w:val="2"/>
                <w:sz w:val="21"/>
              </w:rPr>
            </w:pPr>
          </w:p>
        </w:tc>
      </w:tr>
    </w:tbl>
    <w:p>
      <w:pPr>
        <w:pStyle w:val="26"/>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pStyle w:val="26"/>
        <w:spacing w:before="156" w:beforeLines="50" w:after="156" w:afterLines="50" w:line="360" w:lineRule="auto"/>
        <w:rPr>
          <w:szCs w:val="21"/>
        </w:rPr>
      </w:pPr>
      <w:r>
        <w:rPr>
          <w:rFonts w:hint="eastAsia"/>
          <w:b/>
          <w:color w:val="auto"/>
          <w:kern w:val="2"/>
          <w:sz w:val="21"/>
          <w:szCs w:val="21"/>
        </w:rPr>
        <w:t xml:space="preserve">2.4 </w:t>
      </w:r>
      <w:r>
        <w:rPr>
          <w:rFonts w:hint="eastAsia" w:hAnsi="宋体"/>
          <w:b/>
          <w:color w:val="auto"/>
          <w:kern w:val="2"/>
          <w:sz w:val="21"/>
          <w:szCs w:val="21"/>
        </w:rPr>
        <w:t>持续改进</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pPr>
              <w:pStyle w:val="26"/>
              <w:spacing w:before="156" w:beforeLines="50" w:after="156" w:afterLines="50" w:line="360" w:lineRule="auto"/>
              <w:rPr>
                <w:bCs/>
                <w:color w:val="auto"/>
                <w:kern w:val="2"/>
                <w:sz w:val="21"/>
              </w:rPr>
            </w:pPr>
          </w:p>
          <w:p>
            <w:pPr>
              <w:pStyle w:val="26"/>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pPr>
              <w:pStyle w:val="26"/>
              <w:spacing w:before="156" w:beforeLines="50" w:after="156" w:afterLines="50" w:line="360" w:lineRule="auto"/>
              <w:rPr>
                <w:color w:val="auto"/>
                <w:sz w:val="21"/>
                <w:szCs w:val="21"/>
              </w:rPr>
            </w:pPr>
          </w:p>
          <w:p>
            <w:pPr>
              <w:pStyle w:val="26"/>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24"/>
      <w:bookmarkEnd w:id="25"/>
    </w:tbl>
    <w:p>
      <w:pPr>
        <w:pStyle w:val="26"/>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pPr>
        <w:spacing w:line="360" w:lineRule="auto"/>
      </w:pPr>
      <w:r>
        <w:rPr>
          <w:rFonts w:hint="eastAsia"/>
        </w:rPr>
        <w:t>1）组织的名称、位置与区域：</w:t>
      </w:r>
    </w:p>
    <w:p>
      <w:pPr>
        <w:spacing w:line="360" w:lineRule="auto"/>
      </w:pPr>
      <w:r>
        <w:rPr>
          <w:rFonts w:hint="eastAsia"/>
        </w:rPr>
        <w:t>2）组织机构：</w:t>
      </w:r>
    </w:p>
    <w:p>
      <w:pPr>
        <w:spacing w:line="360" w:lineRule="auto"/>
      </w:pPr>
      <w:r>
        <w:rPr>
          <w:rFonts w:hint="eastAsia"/>
        </w:rPr>
        <w:t>3）管理体系：</w:t>
      </w:r>
    </w:p>
    <w:p>
      <w:pPr>
        <w:spacing w:line="360" w:lineRule="auto"/>
      </w:pPr>
      <w:r>
        <w:rPr>
          <w:rFonts w:hint="eastAsia"/>
        </w:rPr>
        <w:t>4）资源配置:</w:t>
      </w:r>
    </w:p>
    <w:p>
      <w:pPr>
        <w:spacing w:line="360" w:lineRule="auto"/>
      </w:pPr>
      <w:r>
        <w:rPr>
          <w:rFonts w:hint="eastAsia"/>
        </w:rPr>
        <w:t>5）产品及其主要过程:</w:t>
      </w:r>
    </w:p>
    <w:p>
      <w:pPr>
        <w:spacing w:line="360" w:lineRule="auto"/>
      </w:pPr>
      <w:r>
        <w:rPr>
          <w:rFonts w:hint="eastAsia"/>
        </w:rPr>
        <w:t>6）法律法规及产品、检验标准:</w:t>
      </w:r>
    </w:p>
    <w:p>
      <w:pPr>
        <w:spacing w:line="360" w:lineRule="auto"/>
      </w:pPr>
      <w:r>
        <w:rPr>
          <w:rFonts w:hint="eastAsia"/>
        </w:rPr>
        <w:t>7）外部环境:</w:t>
      </w:r>
    </w:p>
    <w:p>
      <w:pPr>
        <w:spacing w:line="360" w:lineRule="auto"/>
      </w:pPr>
      <w:r>
        <w:rPr>
          <w:rFonts w:hint="eastAsia"/>
        </w:rPr>
        <w:t>8）审核范围（及不适用条款的合理性</w:t>
      </w:r>
      <w:r>
        <w:t>）</w:t>
      </w:r>
      <w:r>
        <w:rPr>
          <w:rFonts w:hint="eastAsia"/>
        </w:rPr>
        <w:t>:</w:t>
      </w:r>
    </w:p>
    <w:p>
      <w:pPr>
        <w:spacing w:line="360" w:lineRule="auto"/>
      </w:pPr>
      <w:r>
        <w:rPr>
          <w:rFonts w:hint="eastAsia"/>
        </w:rPr>
        <w:t>9）联系方式:</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pPr>
        <w:pStyle w:val="26"/>
        <w:tabs>
          <w:tab w:val="left" w:pos="3011"/>
        </w:tabs>
        <w:spacing w:line="360" w:lineRule="auto"/>
        <w:jc w:val="both"/>
        <w:outlineLvl w:val="1"/>
        <w:rPr>
          <w:b/>
          <w:color w:val="auto"/>
          <w:kern w:val="2"/>
          <w:sz w:val="21"/>
          <w:lang w:val="en-GB"/>
        </w:rPr>
      </w:pPr>
    </w:p>
    <w:p>
      <w:pPr>
        <w:pStyle w:val="26"/>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pPr>
        <w:tabs>
          <w:tab w:val="left" w:pos="2552"/>
        </w:tabs>
        <w:spacing w:line="360" w:lineRule="auto"/>
        <w:rPr>
          <w:szCs w:val="21"/>
          <w:lang w:val="en-GB"/>
        </w:rPr>
      </w:pPr>
    </w:p>
    <w:p>
      <w:pPr>
        <w:pStyle w:val="26"/>
        <w:spacing w:line="360" w:lineRule="auto"/>
        <w:rPr>
          <w:b/>
          <w:color w:val="auto"/>
          <w:kern w:val="2"/>
          <w:sz w:val="21"/>
          <w:lang w:val="en-GB"/>
        </w:rPr>
      </w:pPr>
    </w:p>
    <w:bookmarkEnd w:id="23"/>
    <w:p>
      <w:pPr>
        <w:pStyle w:val="26"/>
        <w:spacing w:before="156" w:beforeLines="50" w:after="156" w:afterLines="50" w:line="360" w:lineRule="auto"/>
        <w:rPr>
          <w:b/>
          <w:color w:val="auto"/>
          <w:kern w:val="2"/>
          <w:sz w:val="21"/>
          <w:lang w:val="en-GB"/>
        </w:rPr>
      </w:pPr>
      <w:bookmarkStart w:id="26" w:name="_Toc204739691"/>
      <w:bookmarkStart w:id="27" w:name="_Toc199916229"/>
      <w:bookmarkStart w:id="28" w:name="_Toc199153393"/>
      <w:r>
        <w:rPr>
          <w:rFonts w:hint="eastAsia"/>
          <w:b/>
          <w:color w:val="auto"/>
          <w:kern w:val="2"/>
          <w:sz w:val="21"/>
          <w:lang w:val="en-GB"/>
        </w:rPr>
        <w:t>六、被认证方的基本信息暨认证范围的表述</w:t>
      </w:r>
      <w:bookmarkEnd w:id="26"/>
      <w:bookmarkEnd w:id="27"/>
      <w:bookmarkEnd w:id="28"/>
    </w:p>
    <w:p>
      <w:pPr>
        <w:pStyle w:val="26"/>
        <w:spacing w:line="360" w:lineRule="auto"/>
        <w:ind w:firstLine="527" w:firstLineChars="250"/>
        <w:rPr>
          <w:b/>
          <w:color w:val="auto"/>
          <w:kern w:val="2"/>
          <w:sz w:val="21"/>
          <w:szCs w:val="21"/>
        </w:rPr>
      </w:pPr>
      <w:r>
        <w:rPr>
          <w:rFonts w:hint="eastAsia" w:cs="宋体"/>
          <w:b/>
          <w:color w:val="auto"/>
          <w:sz w:val="21"/>
          <w:szCs w:val="21"/>
        </w:rPr>
        <w:t>□</w:t>
      </w:r>
      <w:r>
        <w:rPr>
          <w:rFonts w:hint="eastAsia" w:hAnsi="宋体"/>
          <w:color w:val="auto"/>
          <w:sz w:val="21"/>
          <w:szCs w:val="21"/>
        </w:rPr>
        <w:t>无变化</w:t>
      </w:r>
    </w:p>
    <w:p>
      <w:pPr>
        <w:pStyle w:val="26"/>
        <w:spacing w:line="360" w:lineRule="auto"/>
        <w:ind w:firstLine="519" w:firstLineChars="246"/>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经过审核，</w:t>
      </w:r>
      <w:r>
        <w:rPr>
          <w:rFonts w:hint="eastAsia"/>
          <w:color w:val="auto"/>
          <w:kern w:val="2"/>
          <w:sz w:val="21"/>
          <w:szCs w:val="21"/>
          <w:lang w:val="en-GB"/>
        </w:rPr>
        <w:t>审核组认为认证范围适宜</w:t>
      </w:r>
      <w:r>
        <w:rPr>
          <w:rFonts w:hint="eastAsia" w:hAnsi="宋体"/>
          <w:color w:val="auto"/>
          <w:kern w:val="2"/>
          <w:sz w:val="21"/>
          <w:szCs w:val="21"/>
          <w:lang w:val="en-GB"/>
        </w:rPr>
        <w:t>，详见《认证证书内容确认表》。</w:t>
      </w:r>
    </w:p>
    <w:p>
      <w:pPr>
        <w:pStyle w:val="26"/>
        <w:spacing w:line="360" w:lineRule="auto"/>
        <w:ind w:firstLine="621" w:firstLineChars="296"/>
        <w:rPr>
          <w:rFonts w:hAnsi="宋体"/>
          <w:color w:val="auto"/>
          <w:kern w:val="2"/>
          <w:sz w:val="21"/>
          <w:szCs w:val="21"/>
          <w:lang w:val="en-GB"/>
        </w:rPr>
      </w:pPr>
      <w:r>
        <w:rPr>
          <w:rFonts w:hint="eastAsia" w:hAnsi="宋体"/>
          <w:color w:val="auto"/>
          <w:kern w:val="2"/>
          <w:sz w:val="21"/>
          <w:szCs w:val="21"/>
          <w:lang w:val="en-GB"/>
        </w:rPr>
        <w:t>说明：审核范围在监督审核时有变化，需填写《认证证书内容确认表》</w:t>
      </w:r>
    </w:p>
    <w:p>
      <w:pPr>
        <w:pStyle w:val="26"/>
        <w:spacing w:line="360" w:lineRule="auto"/>
        <w:ind w:firstLine="565" w:firstLineChars="296"/>
        <w:rPr>
          <w:rFonts w:ascii="宋体" w:hAnsi="宋体"/>
          <w:b/>
          <w:spacing w:val="-10"/>
          <w:kern w:val="2"/>
          <w:sz w:val="21"/>
          <w:szCs w:val="21"/>
        </w:rPr>
      </w:pPr>
    </w:p>
    <w:p>
      <w:pPr>
        <w:pStyle w:val="26"/>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pPr>
        <w:pStyle w:val="26"/>
        <w:spacing w:line="360" w:lineRule="auto"/>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pPr>
        <w:pStyle w:val="26"/>
        <w:spacing w:before="156" w:beforeLines="50" w:after="156" w:afterLines="50" w:line="360" w:lineRule="auto"/>
        <w:rPr>
          <w:b/>
          <w:color w:val="auto"/>
          <w:kern w:val="2"/>
          <w:sz w:val="21"/>
          <w:lang w:val="en-GB"/>
        </w:rPr>
      </w:pPr>
    </w:p>
    <w:p>
      <w:pPr>
        <w:tabs>
          <w:tab w:val="left" w:pos="2552"/>
        </w:tabs>
        <w:spacing w:line="360" w:lineRule="auto"/>
        <w:ind w:firstLine="422" w:firstLineChars="200"/>
        <w:rPr>
          <w:szCs w:val="21"/>
        </w:rPr>
      </w:pPr>
      <w:r>
        <w:rPr>
          <w:rFonts w:hint="eastAsia" w:hAnsi="宋体"/>
          <w:b/>
          <w:szCs w:val="21"/>
          <w:lang w:val="en-GB"/>
        </w:rPr>
        <w:t>推荐意见</w:t>
      </w:r>
      <w:r>
        <w:rPr>
          <w:rFonts w:hint="eastAsia" w:hAnsi="宋体"/>
          <w:szCs w:val="21"/>
          <w:lang w:val="en-GB"/>
        </w:rPr>
        <w:t>：</w:t>
      </w:r>
      <w:r>
        <w:rPr>
          <w:rFonts w:hint="eastAsia" w:cs="宋体"/>
          <w:b/>
          <w:kern w:val="0"/>
          <w:szCs w:val="21"/>
        </w:rPr>
        <w:t>□</w:t>
      </w:r>
      <w:r>
        <w:rPr>
          <w:rFonts w:hint="eastAsia" w:hAnsi="宋体"/>
          <w:szCs w:val="21"/>
        </w:rPr>
        <w:t>暂停证书的原因已经消除，恢复认证注册</w:t>
      </w:r>
    </w:p>
    <w:p>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保持认证注册</w:t>
      </w:r>
    </w:p>
    <w:p>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在商定的时间内完成对不符合项的整改，并经审核组验证有效后，保持认证注册</w:t>
      </w:r>
    </w:p>
    <w:p>
      <w:pPr>
        <w:tabs>
          <w:tab w:val="left" w:pos="2552"/>
        </w:tabs>
        <w:spacing w:line="360" w:lineRule="auto"/>
        <w:ind w:firstLine="1581" w:firstLineChars="750"/>
        <w:rPr>
          <w:rFonts w:hAnsi="宋体"/>
          <w:szCs w:val="21"/>
        </w:rPr>
      </w:pPr>
      <w:r>
        <w:rPr>
          <w:rFonts w:hint="eastAsia" w:cs="宋体"/>
          <w:b/>
          <w:kern w:val="0"/>
          <w:szCs w:val="21"/>
        </w:rPr>
        <w:t>□</w:t>
      </w:r>
      <w:r>
        <w:rPr>
          <w:rFonts w:hint="eastAsia" w:hAnsi="宋体"/>
          <w:szCs w:val="21"/>
        </w:rPr>
        <w:t>暂停认证注册</w:t>
      </w:r>
    </w:p>
    <w:p>
      <w:pPr>
        <w:tabs>
          <w:tab w:val="left" w:pos="2552"/>
        </w:tabs>
        <w:spacing w:line="360" w:lineRule="auto"/>
        <w:ind w:firstLine="1581" w:firstLineChars="750"/>
        <w:rPr>
          <w:rFonts w:cs="宋体"/>
          <w:bCs/>
          <w:kern w:val="0"/>
          <w:szCs w:val="21"/>
        </w:rPr>
      </w:pPr>
      <w:r>
        <w:rPr>
          <w:rFonts w:hint="eastAsia" w:cs="宋体"/>
          <w:b/>
          <w:kern w:val="0"/>
          <w:szCs w:val="21"/>
        </w:rPr>
        <w:t>□</w:t>
      </w:r>
      <w:r>
        <w:rPr>
          <w:rFonts w:hint="eastAsia" w:cs="宋体"/>
          <w:bCs/>
          <w:kern w:val="0"/>
          <w:szCs w:val="21"/>
        </w:rPr>
        <w:t>扩大认证范围</w:t>
      </w:r>
    </w:p>
    <w:p>
      <w:pPr>
        <w:tabs>
          <w:tab w:val="left" w:pos="2552"/>
        </w:tabs>
        <w:spacing w:line="360" w:lineRule="auto"/>
        <w:ind w:firstLine="1581" w:firstLineChars="750"/>
        <w:rPr>
          <w:bCs/>
          <w:lang w:val="en-GB"/>
        </w:rPr>
      </w:pPr>
      <w:r>
        <w:rPr>
          <w:rFonts w:hint="eastAsia" w:cs="宋体"/>
          <w:b/>
          <w:kern w:val="0"/>
          <w:szCs w:val="21"/>
        </w:rPr>
        <w:t>□</w:t>
      </w:r>
      <w:r>
        <w:rPr>
          <w:rFonts w:hint="eastAsia" w:cs="宋体"/>
          <w:bCs/>
          <w:kern w:val="0"/>
          <w:szCs w:val="21"/>
        </w:rPr>
        <w:t>缩小认证范围</w:t>
      </w:r>
    </w:p>
    <w:p>
      <w:pPr>
        <w:pStyle w:val="26"/>
        <w:spacing w:line="360" w:lineRule="auto"/>
        <w:rPr>
          <w:color w:val="auto"/>
          <w:kern w:val="2"/>
          <w:sz w:val="21"/>
          <w:szCs w:val="21"/>
          <w:lang w:val="en-GB"/>
        </w:rPr>
      </w:pPr>
    </w:p>
    <w:p>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pPr>
        <w:spacing w:line="360" w:lineRule="auto"/>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ind w:firstLine="3233" w:firstLineChars="1150"/>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134" w:right="1077" w:bottom="873" w:left="1077" w:header="510" w:footer="454"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5054056"/>
    </w:sdtPr>
    <w:sdtContent>
      <w:sdt>
        <w:sdtPr>
          <w:id w:val="1728636285"/>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32" w:name="_Hlk131525196"/>
    <w:bookmarkStart w:id="33" w:name="_Hlk131525195"/>
    <w:r>
      <w:rPr>
        <w:sz w:val="18"/>
        <w:szCs w:val="18"/>
      </w:rPr>
      <w:drawing>
        <wp:anchor distT="0" distB="0" distL="114300" distR="114300" simplePos="0" relativeHeight="251660288"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40pt;margin-top:13.7pt;height:18.2pt;width:137.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43E69"/>
    <w:multiLevelType w:val="singleLevel"/>
    <w:tmpl w:val="28743E6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082635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autoRedefine/>
    <w:semiHidden/>
    <w:unhideWhenUsed/>
    <w:qFormat/>
    <w:uiPriority w:val="99"/>
    <w:rPr>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autoRedefine/>
    <w:unhideWhenUsed/>
    <w:qFormat/>
    <w:uiPriority w:val="99"/>
    <w:rPr>
      <w:color w:val="0000FF"/>
      <w:u w:val="single"/>
    </w:rPr>
  </w:style>
  <w:style w:type="paragraph" w:styleId="14">
    <w:name w:val="List Paragraph"/>
    <w:basedOn w:val="1"/>
    <w:autoRedefine/>
    <w:qFormat/>
    <w:uiPriority w:val="34"/>
    <w:pPr>
      <w:ind w:firstLine="420" w:firstLineChars="200"/>
    </w:pPr>
  </w:style>
  <w:style w:type="character" w:customStyle="1" w:styleId="15">
    <w:name w:val="页眉 Char1"/>
    <w:basedOn w:val="12"/>
    <w:link w:val="7"/>
    <w:autoRedefine/>
    <w:qFormat/>
    <w:uiPriority w:val="99"/>
    <w:rPr>
      <w:rFonts w:ascii="Times New Roman" w:hAnsi="Times New Roman" w:eastAsia="宋体" w:cs="Times New Roman"/>
      <w:sz w:val="18"/>
      <w:szCs w:val="18"/>
    </w:rPr>
  </w:style>
  <w:style w:type="character" w:customStyle="1" w:styleId="16">
    <w:name w:val="页脚 Char"/>
    <w:basedOn w:val="12"/>
    <w:link w:val="6"/>
    <w:autoRedefine/>
    <w:qFormat/>
    <w:uiPriority w:val="99"/>
    <w:rPr>
      <w:rFonts w:ascii="Times New Roman" w:hAnsi="Times New Roman" w:eastAsia="宋体" w:cs="Times New Roman"/>
      <w:sz w:val="18"/>
      <w:szCs w:val="18"/>
    </w:rPr>
  </w:style>
  <w:style w:type="character" w:customStyle="1" w:styleId="17">
    <w:name w:val="批注框文本 Char"/>
    <w:basedOn w:val="12"/>
    <w:link w:val="5"/>
    <w:autoRedefine/>
    <w:semiHidden/>
    <w:qFormat/>
    <w:uiPriority w:val="99"/>
    <w:rPr>
      <w:rFonts w:ascii="Times New Roman" w:hAnsi="Times New Roman" w:eastAsia="宋体" w:cs="Times New Roman"/>
      <w:sz w:val="18"/>
      <w:szCs w:val="18"/>
    </w:rPr>
  </w:style>
  <w:style w:type="character" w:customStyle="1" w:styleId="18">
    <w:name w:val="页眉 Char"/>
    <w:autoRedefine/>
    <w:qFormat/>
    <w:uiPriority w:val="0"/>
    <w:rPr>
      <w:kern w:val="2"/>
      <w:sz w:val="18"/>
      <w:szCs w:val="18"/>
    </w:rPr>
  </w:style>
  <w:style w:type="character" w:customStyle="1" w:styleId="19">
    <w:name w:val="Char Char1"/>
    <w:autoRedefine/>
    <w:qFormat/>
    <w:locked/>
    <w:uiPriority w:val="0"/>
    <w:rPr>
      <w:rFonts w:hint="eastAsia" w:ascii="宋体" w:hAnsi="Courier New" w:eastAsia="宋体"/>
      <w:kern w:val="2"/>
      <w:sz w:val="21"/>
      <w:lang w:val="en-US" w:eastAsia="zh-CN" w:bidi="ar-SA"/>
    </w:rPr>
  </w:style>
  <w:style w:type="paragraph" w:customStyle="1" w:styleId="20">
    <w:name w:val="Body 6pt"/>
    <w:basedOn w:val="1"/>
    <w:autoRedefine/>
    <w:qFormat/>
    <w:uiPriority w:val="0"/>
    <w:pPr>
      <w:spacing w:before="40" w:after="40"/>
    </w:pPr>
    <w:rPr>
      <w:rFonts w:eastAsia="Times New Roman"/>
      <w:sz w:val="12"/>
      <w:szCs w:val="20"/>
      <w:lang w:val="de-DE" w:eastAsia="de-DE"/>
    </w:rPr>
  </w:style>
  <w:style w:type="paragraph" w:customStyle="1" w:styleId="21">
    <w:name w:val="Header 9pt Bold Centered"/>
    <w:basedOn w:val="1"/>
    <w:autoRedefine/>
    <w:qFormat/>
    <w:uiPriority w:val="0"/>
    <w:pPr>
      <w:spacing w:before="20" w:after="20"/>
      <w:jc w:val="center"/>
    </w:pPr>
    <w:rPr>
      <w:rFonts w:eastAsia="Times New Roman"/>
      <w:b/>
      <w:sz w:val="18"/>
      <w:szCs w:val="20"/>
      <w:lang w:val="de-DE" w:eastAsia="de-DE"/>
    </w:rPr>
  </w:style>
  <w:style w:type="paragraph" w:customStyle="1" w:styleId="22">
    <w:name w:val="TM_accreditation"/>
    <w:basedOn w:val="1"/>
    <w:autoRedefine/>
    <w:qFormat/>
    <w:uiPriority w:val="0"/>
    <w:pPr>
      <w:spacing w:before="40" w:after="40"/>
    </w:pPr>
    <w:rPr>
      <w:rFonts w:eastAsia="Times New Roman"/>
      <w:sz w:val="20"/>
      <w:szCs w:val="20"/>
      <w:lang w:val="en-GB" w:eastAsia="de-DE"/>
    </w:rPr>
  </w:style>
  <w:style w:type="paragraph" w:customStyle="1" w:styleId="23">
    <w:name w:val="List Dot De 10pt"/>
    <w:basedOn w:val="1"/>
    <w:autoRedefine/>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autoRedefine/>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autoRedefine/>
    <w:qFormat/>
    <w:uiPriority w:val="0"/>
  </w:style>
  <w:style w:type="character" w:customStyle="1" w:styleId="28">
    <w:name w:val="未处理的提及1"/>
    <w:basedOn w:val="12"/>
    <w:autoRedefine/>
    <w:semiHidden/>
    <w:unhideWhenUsed/>
    <w:qFormat/>
    <w:uiPriority w:val="99"/>
    <w:rPr>
      <w:color w:val="605E5C"/>
      <w:shd w:val="clear" w:color="auto" w:fill="E1DFDD"/>
    </w:rPr>
  </w:style>
  <w:style w:type="character" w:customStyle="1" w:styleId="29">
    <w:name w:val="页脚 Char2"/>
    <w:autoRedefine/>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724</Words>
  <Characters>4129</Characters>
  <Lines>34</Lines>
  <Paragraphs>9</Paragraphs>
  <TotalTime>8</TotalTime>
  <ScaleCrop>false</ScaleCrop>
  <LinksUpToDate>false</LinksUpToDate>
  <CharactersWithSpaces>4844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2024-03-12T02:58:15Z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2052-12.1.0.16388</vt:lpwstr>
  </property>
</Properties>
</file>