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F9" w:rsidRDefault="00D64DF9" w:rsidP="00D64DF9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D64DF9" w:rsidRDefault="00D64DF9" w:rsidP="00D64DF9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D64DF9" w:rsidTr="00352D68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vAlign w:val="center"/>
          </w:tcPr>
          <w:p w:rsidR="00D64DF9" w:rsidRDefault="0062065F" w:rsidP="00352D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rFonts w:hint="eastAsia"/>
                <w:color w:val="000000"/>
                <w:szCs w:val="21"/>
              </w:rPr>
              <w:t>山东清锦环保科技有限公司</w:t>
            </w:r>
            <w:bookmarkEnd w:id="3"/>
          </w:p>
        </w:tc>
        <w:tc>
          <w:tcPr>
            <w:tcW w:w="1720" w:type="dxa"/>
            <w:vAlign w:val="center"/>
          </w:tcPr>
          <w:p w:rsidR="00D64DF9" w:rsidRDefault="00D64DF9" w:rsidP="00352D6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D64DF9" w:rsidRDefault="00D64DF9" w:rsidP="00352D6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D64DF9" w:rsidRDefault="00D64DF9" w:rsidP="00352D6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  <w:p w:rsidR="00D64DF9" w:rsidRDefault="00D64DF9" w:rsidP="00352D6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  <w:p w:rsidR="00D64DF9" w:rsidRDefault="00D64DF9" w:rsidP="00352D6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  <w:bookmarkEnd w:id="4"/>
          </w:p>
        </w:tc>
      </w:tr>
      <w:tr w:rsidR="00D64DF9" w:rsidTr="00352D68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D64DF9" w:rsidRDefault="00D64DF9" w:rsidP="00352D6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  <w:p w:rsidR="00D64DF9" w:rsidRDefault="00D64DF9" w:rsidP="00352D6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  <w:p w:rsidR="00D64DF9" w:rsidRDefault="00D64DF9" w:rsidP="00352D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</w:tc>
        <w:tc>
          <w:tcPr>
            <w:tcW w:w="1720" w:type="dxa"/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D64DF9" w:rsidRDefault="0062065F" w:rsidP="00352D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D64DF9" w:rsidTr="00352D68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D64DF9" w:rsidRDefault="00D171DB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李俐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290" w:type="dxa"/>
            <w:vAlign w:val="center"/>
          </w:tcPr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64DF9" w:rsidTr="00352D68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D64DF9" w:rsidRDefault="00D64DF9" w:rsidP="00352D6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  <w:p w:rsidR="00D64DF9" w:rsidRDefault="00D64DF9" w:rsidP="00352D6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</w:tc>
        <w:tc>
          <w:tcPr>
            <w:tcW w:w="1290" w:type="dxa"/>
            <w:vAlign w:val="center"/>
          </w:tcPr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D64DF9" w:rsidRDefault="00D64DF9" w:rsidP="00352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64DF9" w:rsidTr="00352D68">
        <w:trPr>
          <w:cantSplit/>
          <w:trHeight w:val="94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D64DF9" w:rsidRDefault="00D64DF9" w:rsidP="00352D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D64DF9" w:rsidRPr="007528B2" w:rsidRDefault="00D64DF9" w:rsidP="00D171DB">
            <w:pPr>
              <w:spacing w:line="260" w:lineRule="exact"/>
              <w:rPr>
                <w:b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下料→焊接→组装→</w:t>
            </w:r>
            <w:r>
              <w:rPr>
                <w:rFonts w:ascii="宋体" w:hAnsi="宋体" w:hint="eastAsia"/>
                <w:szCs w:val="24"/>
              </w:rPr>
              <w:t>调试</w:t>
            </w:r>
            <w:r w:rsidRPr="007528B2">
              <w:rPr>
                <w:rFonts w:ascii="宋体" w:hAnsi="宋体" w:hint="eastAsia"/>
                <w:szCs w:val="24"/>
              </w:rPr>
              <w:t>→检验→交付→服务；</w:t>
            </w:r>
          </w:p>
        </w:tc>
      </w:tr>
      <w:tr w:rsidR="00D64DF9" w:rsidTr="00352D68">
        <w:trPr>
          <w:cantSplit/>
          <w:trHeight w:val="12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D64DF9" w:rsidRDefault="00D64DF9" w:rsidP="00352D6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D64DF9" w:rsidRPr="008B4140" w:rsidRDefault="00D64DF9" w:rsidP="00352D6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D64DF9" w:rsidRPr="007528B2" w:rsidRDefault="00D64DF9" w:rsidP="00352D68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关键控制点：焊接、</w:t>
            </w:r>
            <w:r>
              <w:rPr>
                <w:rFonts w:ascii="宋体" w:hAnsi="宋体" w:hint="eastAsia"/>
                <w:szCs w:val="24"/>
              </w:rPr>
              <w:t>组装</w:t>
            </w:r>
            <w:r w:rsidRPr="007528B2">
              <w:rPr>
                <w:rFonts w:ascii="宋体" w:hAnsi="宋体" w:hint="eastAsia"/>
                <w:szCs w:val="24"/>
              </w:rPr>
              <w:t>。</w:t>
            </w:r>
          </w:p>
          <w:p w:rsidR="00D64DF9" w:rsidRPr="007528B2" w:rsidRDefault="00D64DF9" w:rsidP="00352D68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按照策划的作业指导书作业。</w:t>
            </w:r>
          </w:p>
        </w:tc>
      </w:tr>
      <w:tr w:rsidR="00D64DF9" w:rsidTr="00352D68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D64DF9" w:rsidRPr="007528B2" w:rsidRDefault="00D64DF9" w:rsidP="00352D68">
            <w:pPr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 w:hint="eastAsia"/>
                <w:spacing w:val="-8"/>
                <w:szCs w:val="24"/>
              </w:rPr>
              <w:t>重要环境因素：固废排放、火灾；</w:t>
            </w:r>
          </w:p>
          <w:p w:rsidR="00D64DF9" w:rsidRPr="007528B2" w:rsidRDefault="00D64DF9" w:rsidP="00352D68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hint="eastAsia"/>
                <w:szCs w:val="24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D64DF9" w:rsidTr="00352D68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D64DF9" w:rsidRPr="007528B2" w:rsidRDefault="00D64DF9" w:rsidP="00352D68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 w:hint="eastAsia"/>
                <w:spacing w:val="-8"/>
                <w:szCs w:val="24"/>
              </w:rPr>
              <w:t>重大危险源：火灾、触电、人身伤害；</w:t>
            </w:r>
          </w:p>
          <w:p w:rsidR="00D64DF9" w:rsidRPr="007528B2" w:rsidRDefault="00D64DF9" w:rsidP="00352D68">
            <w:pPr>
              <w:snapToGrid w:val="0"/>
              <w:spacing w:line="260" w:lineRule="exact"/>
              <w:rPr>
                <w:b/>
                <w:szCs w:val="24"/>
              </w:rPr>
            </w:pPr>
            <w:r w:rsidRPr="007528B2">
              <w:rPr>
                <w:rFonts w:hint="eastAsia"/>
                <w:szCs w:val="24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 w:rsidR="00D64DF9" w:rsidTr="00352D68">
        <w:trPr>
          <w:cantSplit/>
          <w:trHeight w:val="164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D64DF9" w:rsidRPr="007528B2" w:rsidRDefault="00D64DF9" w:rsidP="00352D68">
            <w:pPr>
              <w:snapToGrid w:val="0"/>
              <w:spacing w:line="260" w:lineRule="exact"/>
              <w:rPr>
                <w:b/>
                <w:szCs w:val="24"/>
              </w:rPr>
            </w:pPr>
            <w:r w:rsidRPr="007528B2">
              <w:rPr>
                <w:rFonts w:hint="eastAsia"/>
                <w:szCs w:val="24"/>
              </w:rPr>
              <w:t>中华人民共和国环保法、固体废物污染环境防治法、大气污染环境防治法，中华人民共和国安全生产法、劳动法、职业病防治法、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>实验室仪器和设备质量检验规则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ab/>
              <w:t>GB/T 29252-2012</w:t>
            </w:r>
            <w:r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>生活饮用水标准检验方法 水质分析质量控制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ab/>
              <w:t>GB/T 5750.3-2006</w:t>
            </w:r>
            <w:r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>化学需氧量（COD）测定仪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ab/>
              <w:t>GB/T 32208-2015</w:t>
            </w:r>
            <w:r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>氨氮自动监测仪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ab/>
              <w:t>JJG 631-2013</w:t>
            </w:r>
            <w:r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>水质 氨氮的测定 气相分子吸收光谱法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ab/>
              <w:t>HJ/T 195-2005</w:t>
            </w:r>
            <w:r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>城市污水 氨氮的测定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ab/>
              <w:t>CJ/T 75-1999</w:t>
            </w:r>
            <w:r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>家用和类似用途电器的安全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ab/>
              <w:t>GB4706.1-2005</w:t>
            </w:r>
          </w:p>
        </w:tc>
      </w:tr>
      <w:tr w:rsidR="00D64DF9" w:rsidTr="00352D68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D64DF9" w:rsidRPr="007528B2" w:rsidRDefault="00D64DF9" w:rsidP="00352D68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/>
                <w:spacing w:val="-8"/>
                <w:szCs w:val="24"/>
              </w:rPr>
              <w:t>外观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7528B2">
              <w:rPr>
                <w:rFonts w:ascii="宋体" w:hAnsi="宋体"/>
                <w:spacing w:val="-8"/>
                <w:szCs w:val="24"/>
              </w:rPr>
              <w:t>尺寸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7528B2">
              <w:rPr>
                <w:rFonts w:ascii="宋体" w:hAnsi="宋体"/>
                <w:spacing w:val="-8"/>
                <w:szCs w:val="24"/>
              </w:rPr>
              <w:t>性能</w:t>
            </w:r>
            <w:r w:rsidR="00D171DB">
              <w:rPr>
                <w:rFonts w:ascii="宋体" w:hAnsi="宋体" w:hint="eastAsia"/>
                <w:spacing w:val="-8"/>
                <w:szCs w:val="24"/>
              </w:rPr>
              <w:t>，无</w:t>
            </w:r>
            <w:r w:rsidR="00D171DB" w:rsidRPr="00D171DB">
              <w:rPr>
                <w:rFonts w:ascii="宋体" w:hAnsi="宋体" w:hint="eastAsia"/>
                <w:spacing w:val="-8"/>
                <w:szCs w:val="24"/>
              </w:rPr>
              <w:t>型式试验要求</w:t>
            </w:r>
          </w:p>
        </w:tc>
      </w:tr>
      <w:tr w:rsidR="00D64DF9" w:rsidTr="00352D68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64DF9" w:rsidRDefault="00D64DF9" w:rsidP="00352D6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4" w:space="0" w:color="auto"/>
            </w:tcBorders>
            <w:vAlign w:val="center"/>
          </w:tcPr>
          <w:p w:rsidR="00D64DF9" w:rsidRPr="007528B2" w:rsidRDefault="00D64DF9" w:rsidP="00352D68">
            <w:pPr>
              <w:snapToGrid w:val="0"/>
              <w:spacing w:line="260" w:lineRule="exact"/>
              <w:rPr>
                <w:szCs w:val="24"/>
              </w:rPr>
            </w:pPr>
            <w:r w:rsidRPr="007528B2">
              <w:rPr>
                <w:szCs w:val="24"/>
              </w:rPr>
              <w:t>审核技巧</w:t>
            </w:r>
            <w:r w:rsidRPr="007528B2">
              <w:rPr>
                <w:rFonts w:hint="eastAsia"/>
                <w:szCs w:val="24"/>
              </w:rPr>
              <w:t>、</w:t>
            </w:r>
            <w:r w:rsidRPr="007528B2">
              <w:rPr>
                <w:szCs w:val="24"/>
              </w:rPr>
              <w:t>沟通</w:t>
            </w:r>
          </w:p>
        </w:tc>
      </w:tr>
    </w:tbl>
    <w:p w:rsidR="00D64DF9" w:rsidRDefault="00D64DF9" w:rsidP="00D64DF9">
      <w:pPr>
        <w:snapToGrid w:val="0"/>
        <w:rPr>
          <w:rFonts w:ascii="宋体"/>
          <w:b/>
          <w:sz w:val="22"/>
          <w:szCs w:val="22"/>
        </w:rPr>
      </w:pPr>
    </w:p>
    <w:p w:rsidR="00D64DF9" w:rsidRDefault="00D64DF9" w:rsidP="00D64DF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 w:rsidRPr="00193BA9">
        <w:rPr>
          <w:rFonts w:ascii="宋体" w:hint="eastAsia"/>
          <w:b/>
          <w:sz w:val="22"/>
          <w:szCs w:val="22"/>
        </w:rPr>
        <w:t>： 姜海军    日期：20</w:t>
      </w:r>
      <w:r w:rsidR="003A5A08">
        <w:rPr>
          <w:rFonts w:ascii="宋体" w:hint="eastAsia"/>
          <w:b/>
          <w:sz w:val="22"/>
          <w:szCs w:val="22"/>
        </w:rPr>
        <w:t>20</w:t>
      </w:r>
      <w:r w:rsidRPr="00193BA9">
        <w:rPr>
          <w:rFonts w:ascii="宋体" w:hint="eastAsia"/>
          <w:b/>
          <w:sz w:val="22"/>
          <w:szCs w:val="22"/>
        </w:rPr>
        <w:t>.</w:t>
      </w:r>
      <w:r w:rsidR="003A5A08">
        <w:rPr>
          <w:rFonts w:ascii="宋体" w:hint="eastAsia"/>
          <w:b/>
          <w:sz w:val="22"/>
          <w:szCs w:val="22"/>
        </w:rPr>
        <w:t>4</w:t>
      </w:r>
      <w:r w:rsidRPr="00193BA9">
        <w:rPr>
          <w:rFonts w:ascii="宋体" w:hint="eastAsia"/>
          <w:b/>
          <w:sz w:val="22"/>
          <w:szCs w:val="22"/>
        </w:rPr>
        <w:t>.</w:t>
      </w:r>
      <w:r w:rsidR="003A5A08">
        <w:rPr>
          <w:rFonts w:ascii="宋体" w:hint="eastAsia"/>
          <w:b/>
          <w:sz w:val="22"/>
          <w:szCs w:val="22"/>
        </w:rPr>
        <w:t>27</w:t>
      </w:r>
      <w:r>
        <w:rPr>
          <w:rFonts w:ascii="宋体" w:hint="eastAsia"/>
          <w:b/>
          <w:sz w:val="22"/>
          <w:szCs w:val="22"/>
        </w:rPr>
        <w:t xml:space="preserve">     审核组长</w:t>
      </w:r>
      <w:r w:rsidRPr="00193BA9">
        <w:rPr>
          <w:rFonts w:ascii="宋体" w:hint="eastAsia"/>
          <w:b/>
          <w:sz w:val="22"/>
          <w:szCs w:val="22"/>
        </w:rPr>
        <w:t>： 姜海军   日期：20</w:t>
      </w:r>
      <w:r w:rsidR="005A788C">
        <w:rPr>
          <w:rFonts w:ascii="宋体" w:hint="eastAsia"/>
          <w:b/>
          <w:sz w:val="22"/>
          <w:szCs w:val="22"/>
        </w:rPr>
        <w:t>20</w:t>
      </w:r>
      <w:r w:rsidRPr="00193BA9">
        <w:rPr>
          <w:rFonts w:ascii="宋体" w:hint="eastAsia"/>
          <w:b/>
          <w:sz w:val="22"/>
          <w:szCs w:val="22"/>
        </w:rPr>
        <w:t>.</w:t>
      </w:r>
      <w:r w:rsidR="005A788C">
        <w:rPr>
          <w:rFonts w:ascii="宋体" w:hint="eastAsia"/>
          <w:b/>
          <w:sz w:val="22"/>
          <w:szCs w:val="22"/>
        </w:rPr>
        <w:t>4</w:t>
      </w:r>
      <w:r w:rsidRPr="00193BA9">
        <w:rPr>
          <w:rFonts w:ascii="宋体" w:hint="eastAsia"/>
          <w:b/>
          <w:sz w:val="22"/>
          <w:szCs w:val="22"/>
        </w:rPr>
        <w:t>.</w:t>
      </w:r>
      <w:r w:rsidR="005A788C">
        <w:rPr>
          <w:rFonts w:ascii="宋体" w:hint="eastAsia"/>
          <w:b/>
          <w:sz w:val="22"/>
          <w:szCs w:val="22"/>
        </w:rPr>
        <w:t>27</w:t>
      </w:r>
    </w:p>
    <w:p w:rsidR="00D64DF9" w:rsidRDefault="00D64DF9" w:rsidP="00D64DF9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D64DF9" w:rsidRDefault="00D64DF9" w:rsidP="00D64DF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  <w:bookmarkStart w:id="5" w:name="_GoBack"/>
      <w:bookmarkEnd w:id="5"/>
    </w:p>
    <w:p w:rsidR="00AE4B04" w:rsidRPr="00D64DF9" w:rsidRDefault="00FF3846" w:rsidP="00D64DF9"/>
    <w:sectPr w:rsidR="00AE4B04" w:rsidRPr="00D64DF9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846" w:rsidRDefault="00FF3846">
      <w:r>
        <w:separator/>
      </w:r>
    </w:p>
  </w:endnote>
  <w:endnote w:type="continuationSeparator" w:id="0">
    <w:p w:rsidR="00FF3846" w:rsidRDefault="00FF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846" w:rsidRDefault="00FF3846">
      <w:r>
        <w:separator/>
      </w:r>
    </w:p>
  </w:footnote>
  <w:footnote w:type="continuationSeparator" w:id="0">
    <w:p w:rsidR="00FF3846" w:rsidRDefault="00FF3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D64DF9" w:rsidP="00D64DF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37C" w:rsidRPr="00390345">
      <w:rPr>
        <w:rStyle w:val="CharChar1"/>
        <w:rFonts w:hint="default"/>
      </w:rPr>
      <w:t>北京国标联合认证有限公司</w:t>
    </w:r>
    <w:r w:rsidR="0034337C" w:rsidRPr="00390345">
      <w:rPr>
        <w:rStyle w:val="CharChar1"/>
        <w:rFonts w:hint="default"/>
      </w:rPr>
      <w:tab/>
    </w:r>
    <w:r w:rsidR="0034337C" w:rsidRPr="00390345">
      <w:rPr>
        <w:rStyle w:val="CharChar1"/>
        <w:rFonts w:hint="default"/>
      </w:rPr>
      <w:tab/>
    </w:r>
    <w:r w:rsidR="0034337C">
      <w:rPr>
        <w:rStyle w:val="CharChar1"/>
        <w:rFonts w:hint="default"/>
      </w:rPr>
      <w:tab/>
    </w:r>
  </w:p>
  <w:p w:rsidR="0092500F" w:rsidRDefault="00FF3846" w:rsidP="00D64DF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34337C" w:rsidP="00D64DF9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4337C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FF3846">
    <w:pPr>
      <w:pStyle w:val="a4"/>
    </w:pPr>
  </w:p>
  <w:p w:rsidR="00AE4B04" w:rsidRDefault="00FF3846" w:rsidP="00D64DF9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406AD"/>
    <w:rsid w:val="0034337C"/>
    <w:rsid w:val="003A5A08"/>
    <w:rsid w:val="004406AD"/>
    <w:rsid w:val="005A788C"/>
    <w:rsid w:val="0062065F"/>
    <w:rsid w:val="00D171DB"/>
    <w:rsid w:val="00D3625F"/>
    <w:rsid w:val="00D64DF9"/>
    <w:rsid w:val="00F328ED"/>
    <w:rsid w:val="00FF3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145</Words>
  <Characters>827</Characters>
  <Application>Microsoft Office Word</Application>
  <DocSecurity>0</DocSecurity>
  <Lines>6</Lines>
  <Paragraphs>1</Paragraphs>
  <ScaleCrop>false</ScaleCrop>
  <Company>微软中国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26</cp:revision>
  <cp:lastPrinted>2020-05-08T12:48:00Z</cp:lastPrinted>
  <dcterms:created xsi:type="dcterms:W3CDTF">2015-06-17T11:40:00Z</dcterms:created>
  <dcterms:modified xsi:type="dcterms:W3CDTF">2020-05-08T12:48:00Z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