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20037-2024-H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山东有邻药业有限公司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CI-5,CIV-14,CIV-4,CIV-7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CIV-14,CIV-4,CIV-7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2024年01月28日 下午至2024年01月30日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山东省东营市东营区南一路13号产业园2号厂房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山东省东营市东营区南一路13号产业园2号厂房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