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陕西合众东晨工贸有限公司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10054-2024-Q</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西安国际港务区华南城五金机电市场B区12街7栋19-24号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陕西西安市灞桥区新筑街道港兴路1668时代广场4栋11201室</w:t>
            </w:r>
            <w:bookmarkEnd w:id="3"/>
            <w:r>
              <w:rPr>
                <w:rFonts w:hint="eastAsia"/>
                <w:sz w:val="21"/>
                <w:szCs w:val="21"/>
                <w:lang w:eastAsia="zh-CN"/>
              </w:rPr>
              <w:t>；</w:t>
            </w:r>
            <w:bookmarkStart w:id="29" w:name="_GoBack"/>
            <w:bookmarkEnd w:id="29"/>
            <w:r>
              <w:rPr>
                <w:rFonts w:hint="eastAsia"/>
                <w:sz w:val="21"/>
                <w:szCs w:val="21"/>
                <w:lang w:eastAsia="zh-CN"/>
              </w:rPr>
              <w:t>陕西省西安市未央区朱宏路汉城商业街8号院内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李漫莉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18091779666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18091779666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2024-01-24 9:00:00至2024-01-24 13:00:00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GB/T19001-2016/ISO9001:2015</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铜材、铝材的销售及售后服务</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29.11.04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rFonts w:hint="eastAsia" w:eastAsia="宋体"/>
                <w:sz w:val="21"/>
                <w:szCs w:val="21"/>
                <w:lang w:val="en-US" w:eastAsia="zh-CN"/>
              </w:rPr>
            </w:pPr>
            <w:bookmarkStart w:id="26" w:name="删减条款"/>
            <w:bookmarkEnd w:id="26"/>
            <w:r>
              <w:rPr>
                <w:rFonts w:hint="eastAsia"/>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2023-N1QMS-2263290</w:t>
            </w:r>
          </w:p>
        </w:tc>
        <w:tc>
          <w:tcPr>
            <w:tcW w:w="3826" w:type="dxa"/>
            <w:gridSpan w:val="9"/>
            <w:vAlign w:val="center"/>
          </w:tcPr>
          <w:p>
            <w:pPr>
              <w:jc w:val="center"/>
              <w:rPr>
                <w:sz w:val="21"/>
                <w:szCs w:val="21"/>
              </w:rPr>
            </w:pPr>
            <w:r>
              <w:rPr>
                <w:sz w:val="21"/>
                <w:szCs w:val="21"/>
              </w:rPr>
              <w:t>29.11.04</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2024-01-19</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lang w:val="en-US" w:eastAsia="zh-CN"/>
              </w:rPr>
              <w:t>2024</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19</w:t>
            </w:r>
            <w:r>
              <w:rPr>
                <w:rFonts w:hint="eastAsia"/>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hint="default" w:ascii="宋体" w:hAnsi="宋体"/>
                <w:sz w:val="21"/>
                <w:szCs w:val="21"/>
                <w:lang w:val="en-US" w:eastAsia="zh-CN"/>
              </w:rPr>
            </w:pPr>
            <w:r>
              <w:rPr>
                <w:rFonts w:hint="eastAsia" w:ascii="宋体" w:hAnsi="宋体"/>
                <w:sz w:val="21"/>
                <w:szCs w:val="21"/>
                <w:lang w:val="en-US" w:eastAsia="zh-CN"/>
              </w:rPr>
              <w:t>2024.1.24</w:t>
            </w:r>
          </w:p>
          <w:p>
            <w:pPr>
              <w:pStyle w:val="2"/>
              <w:rPr>
                <w:rFonts w:hint="default" w:ascii="宋体" w:hAnsi="宋体" w:eastAsia="宋体" w:cs="Times New Roman"/>
                <w:bCs/>
                <w:spacing w:val="10"/>
                <w:kern w:val="2"/>
                <w:sz w:val="21"/>
                <w:szCs w:val="21"/>
                <w:lang w:val="en-US" w:eastAsia="zh-CN" w:bidi="ar-SA"/>
              </w:rPr>
            </w:pPr>
            <w:r>
              <w:rPr>
                <w:rFonts w:hint="eastAsia" w:ascii="宋体" w:hAnsi="宋体"/>
                <w:sz w:val="21"/>
                <w:szCs w:val="21"/>
                <w:lang w:val="en-US" w:eastAsia="zh-CN"/>
              </w:rPr>
              <w:t>9：00-9：30</w:t>
            </w:r>
          </w:p>
        </w:tc>
        <w:tc>
          <w:tcPr>
            <w:tcW w:w="1275" w:type="dxa"/>
            <w:vAlign w:val="center"/>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A</w:t>
            </w:r>
          </w:p>
        </w:tc>
        <w:tc>
          <w:tcPr>
            <w:tcW w:w="1276" w:type="dxa"/>
            <w:vAlign w:val="center"/>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各部门负责人</w:t>
            </w:r>
          </w:p>
        </w:tc>
        <w:tc>
          <w:tcPr>
            <w:tcW w:w="6685" w:type="dxa"/>
            <w:gridSpan w:val="3"/>
            <w:vAlign w:val="center"/>
          </w:tcPr>
          <w:p>
            <w:pP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首次会议\现场巡视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hint="default" w:ascii="宋体" w:hAnsi="宋体" w:eastAsia="宋体" w:cs="Times New Roman"/>
                <w:bCs/>
                <w:spacing w:val="10"/>
                <w:kern w:val="2"/>
                <w:sz w:val="21"/>
                <w:szCs w:val="21"/>
                <w:lang w:val="en-US" w:eastAsia="zh-CN" w:bidi="ar-SA"/>
              </w:rPr>
            </w:pPr>
            <w:r>
              <w:rPr>
                <w:rFonts w:hint="eastAsia" w:ascii="宋体" w:hAnsi="宋体"/>
                <w:sz w:val="21"/>
                <w:szCs w:val="21"/>
                <w:lang w:val="en-US" w:eastAsia="zh-CN"/>
              </w:rPr>
              <w:t>9：30-111：00</w:t>
            </w:r>
          </w:p>
        </w:tc>
        <w:tc>
          <w:tcPr>
            <w:tcW w:w="1275" w:type="dxa"/>
            <w:vAlign w:val="center"/>
          </w:tcPr>
          <w:p>
            <w:pPr>
              <w:rPr>
                <w:rFonts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A</w:t>
            </w:r>
          </w:p>
        </w:tc>
        <w:tc>
          <w:tcPr>
            <w:tcW w:w="1276" w:type="dxa"/>
            <w:vAlign w:val="center"/>
          </w:tcPr>
          <w:p>
            <w:pP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管理层</w:t>
            </w:r>
          </w:p>
        </w:tc>
        <w:tc>
          <w:tcPr>
            <w:tcW w:w="6685" w:type="dxa"/>
            <w:gridSpan w:val="3"/>
            <w:vAlign w:val="center"/>
          </w:tcPr>
          <w:p>
            <w:pPr>
              <w:rPr>
                <w:rFonts w:hint="eastAsia" w:ascii="宋体" w:hAnsi="宋体"/>
                <w:sz w:val="21"/>
                <w:szCs w:val="21"/>
              </w:rPr>
            </w:pPr>
            <w:r>
              <w:rPr>
                <w:rFonts w:hint="eastAsia" w:ascii="宋体" w:hAnsi="宋体"/>
                <w:sz w:val="21"/>
                <w:szCs w:val="21"/>
              </w:rPr>
              <w:t>申请评审信息的确认（包括资质、人数、倒班情况、体系运行时间、企业组织机构及职能、生产和服务过程、外包、需确认过程、不适用条款、重要环境因素、不可接受风险等）。理解组织及其环境。理解相关方的需求和期望。确定管理体系的范围。管理体系及其过程。应对风险和机遇的措施。组织的岗位职责和权限。文件总则（文审验证）。方针。目标及其实现的策划。资源。内部审核。管理评审。主要人员对标准理解情况。监督抽查。质量事故。重大顾客投诉。行政处罚。管理体系范围界定的合理性。确定第二阶段审核时间。与受审核方协商二阶段审核资源配置和细节方面的问题。</w:t>
            </w:r>
          </w:p>
          <w:p>
            <w:pPr>
              <w:rPr>
                <w:rFonts w:hint="default" w:ascii="宋体" w:hAnsi="宋体" w:eastAsia="宋体" w:cs="Times New Roman"/>
                <w:kern w:val="2"/>
                <w:sz w:val="21"/>
                <w:szCs w:val="21"/>
                <w:lang w:val="en-US" w:eastAsia="zh-CN" w:bidi="ar-SA"/>
              </w:rPr>
            </w:pPr>
            <w:r>
              <w:rPr>
                <w:rFonts w:hint="eastAsia" w:ascii="宋体" w:hAnsi="宋体"/>
                <w:sz w:val="21"/>
                <w:szCs w:val="21"/>
              </w:rPr>
              <w:t>Q4.1，4.2，4.3，4.4，5.2，5.3，6.1，6.2，7.1，7.5.1，9.2，9.3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hint="default" w:ascii="宋体" w:hAnsi="宋体" w:eastAsia="宋体" w:cs="Times New Roman"/>
                <w:bCs/>
                <w:spacing w:val="10"/>
                <w:kern w:val="2"/>
                <w:sz w:val="21"/>
                <w:szCs w:val="21"/>
                <w:lang w:val="en-US" w:eastAsia="zh-CN" w:bidi="ar-SA"/>
              </w:rPr>
            </w:pPr>
            <w:r>
              <w:rPr>
                <w:rFonts w:hint="eastAsia" w:ascii="宋体" w:hAnsi="宋体"/>
                <w:sz w:val="21"/>
                <w:szCs w:val="21"/>
                <w:lang w:val="en-US" w:eastAsia="zh-CN"/>
              </w:rPr>
              <w:t>11：00-12：30</w:t>
            </w:r>
          </w:p>
        </w:tc>
        <w:tc>
          <w:tcPr>
            <w:tcW w:w="1275" w:type="dxa"/>
            <w:vAlign w:val="center"/>
          </w:tcPr>
          <w:p>
            <w:pPr>
              <w:rPr>
                <w:rFonts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A</w:t>
            </w:r>
          </w:p>
        </w:tc>
        <w:tc>
          <w:tcPr>
            <w:tcW w:w="1276" w:type="dxa"/>
            <w:vAlign w:val="center"/>
          </w:tcPr>
          <w:p>
            <w:pPr>
              <w:rPr>
                <w:rFonts w:hint="default" w:ascii="宋体" w:hAnsi="宋体" w:eastAsia="宋体" w:cs="Times New Roman"/>
                <w:kern w:val="2"/>
                <w:sz w:val="21"/>
                <w:szCs w:val="21"/>
                <w:lang w:val="en-US" w:eastAsia="zh-CN" w:bidi="ar-SA"/>
              </w:rPr>
            </w:pPr>
            <w:r>
              <w:rPr>
                <w:rFonts w:hint="eastAsia" w:ascii="宋体" w:hAnsi="宋体"/>
                <w:sz w:val="21"/>
                <w:szCs w:val="21"/>
              </w:rPr>
              <w:t>综合部、销售部、采购部</w:t>
            </w:r>
          </w:p>
        </w:tc>
        <w:tc>
          <w:tcPr>
            <w:tcW w:w="6685" w:type="dxa"/>
            <w:gridSpan w:val="3"/>
            <w:vAlign w:val="center"/>
          </w:tcPr>
          <w:p>
            <w:pPr>
              <w:rPr>
                <w:rFonts w:hint="eastAsia" w:ascii="宋体" w:hAnsi="宋体"/>
                <w:sz w:val="21"/>
                <w:szCs w:val="21"/>
              </w:rPr>
            </w:pPr>
            <w:r>
              <w:rPr>
                <w:rFonts w:hint="eastAsia" w:ascii="宋体" w:hAnsi="宋体"/>
                <w:sz w:val="21"/>
                <w:szCs w:val="21"/>
              </w:rPr>
              <w:t>基础设施。监视和测量资源。运行策划和控制。产品和服务的设计和开发。产品和服务的要求。外部提供的过程产品和服务的控制。生产和服务提供的控制。产品和服务的放行。确认管理体系文件描述的管理体系认证范围与现场运行情况的一致性。确认质量管理过程是否具备现场审核的必备条件。确定二阶段需要关注的重点。</w:t>
            </w:r>
          </w:p>
          <w:p>
            <w:pPr>
              <w:rPr>
                <w:rFonts w:ascii="宋体" w:hAnsi="宋体" w:eastAsia="宋体" w:cs="Times New Roman"/>
                <w:kern w:val="2"/>
                <w:sz w:val="21"/>
                <w:szCs w:val="21"/>
                <w:lang w:val="en-US" w:eastAsia="zh-CN" w:bidi="ar-SA"/>
              </w:rPr>
            </w:pPr>
            <w:r>
              <w:rPr>
                <w:rFonts w:hint="eastAsia" w:ascii="宋体" w:hAnsi="宋体"/>
                <w:sz w:val="21"/>
                <w:szCs w:val="21"/>
              </w:rPr>
              <w:t>Q7.1.3，7.1.5，8.1，8.3，8.2，8.4，8.5.1，8.6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hint="default" w:ascii="宋体" w:hAnsi="宋体" w:eastAsia="宋体" w:cs="Times New Roman"/>
                <w:bCs/>
                <w:spacing w:val="10"/>
                <w:kern w:val="2"/>
                <w:sz w:val="21"/>
                <w:szCs w:val="21"/>
                <w:lang w:val="en-US" w:eastAsia="zh-CN" w:bidi="ar-SA"/>
              </w:rPr>
            </w:pPr>
            <w:r>
              <w:rPr>
                <w:rFonts w:hint="eastAsia" w:ascii="宋体" w:hAnsi="宋体"/>
                <w:sz w:val="21"/>
                <w:szCs w:val="21"/>
                <w:lang w:val="en-US" w:eastAsia="zh-CN"/>
              </w:rPr>
              <w:t>12：30-13：00</w:t>
            </w:r>
          </w:p>
        </w:tc>
        <w:tc>
          <w:tcPr>
            <w:tcW w:w="1275" w:type="dxa"/>
            <w:vAlign w:val="center"/>
          </w:tcPr>
          <w:p>
            <w:pPr>
              <w:rPr>
                <w:rFonts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A</w:t>
            </w:r>
          </w:p>
        </w:tc>
        <w:tc>
          <w:tcPr>
            <w:tcW w:w="1276" w:type="dxa"/>
            <w:vAlign w:val="center"/>
          </w:tcPr>
          <w:p>
            <w:pPr>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管理层、各部门负责人</w:t>
            </w:r>
          </w:p>
        </w:tc>
        <w:tc>
          <w:tcPr>
            <w:tcW w:w="6685" w:type="dxa"/>
            <w:gridSpan w:val="3"/>
            <w:vAlign w:val="center"/>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与管理层沟通、末次会议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rPr>
                <w:rFonts w:ascii="宋体" w:hAnsi="宋体"/>
                <w:sz w:val="21"/>
                <w:szCs w:val="21"/>
              </w:rPr>
            </w:pPr>
            <w:r>
              <w:rPr>
                <w:rFonts w:hint="eastAsia" w:ascii="宋体" w:hAnsi="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hint="eastAsia" w:ascii="宋体" w:hAnsi="宋体" w:eastAsia="宋体"/>
                <w:sz w:val="21"/>
                <w:szCs w:val="21"/>
                <w:lang w:val="en-US" w:eastAsia="zh-CN"/>
              </w:rPr>
            </w:pPr>
            <w:r>
              <w:rPr>
                <w:rFonts w:hint="eastAsia" w:ascii="宋体" w:hAnsi="宋体"/>
                <w:sz w:val="21"/>
                <w:szCs w:val="21"/>
                <w:lang w:val="en-US" w:eastAsia="zh-CN"/>
              </w:rPr>
              <w:t>郭力</w:t>
            </w: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sz w:val="21"/>
                <w:szCs w:val="21"/>
                <w:lang w:val="en-US" w:eastAsia="zh-CN"/>
              </w:rPr>
              <w:t>2024</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19</w:t>
            </w:r>
            <w:r>
              <w:rPr>
                <w:rFonts w:hint="eastAsia"/>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D330C49"/>
    <w:rsid w:val="0EA675EC"/>
    <w:rsid w:val="27C22DA9"/>
    <w:rsid w:val="355F439E"/>
    <w:rsid w:val="3ADF6384"/>
    <w:rsid w:val="41FB3D3B"/>
    <w:rsid w:val="42B5384F"/>
    <w:rsid w:val="4AE1537E"/>
    <w:rsid w:val="67EE0F6F"/>
    <w:rsid w:val="7F323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2</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2024-01-29T01:42:27Z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