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0161-2023-F-2024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 监 督 审 核 ）</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北京兴迈隆商贸有限公司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 xml:space="preserve">质量管理体系（QMS）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r>
        <w:rPr>
          <w:rFonts w:hint="eastAsia"/>
          <w:color w:val="000000"/>
          <w:u w:val="single"/>
        </w:rPr>
        <w:t xml:space="preserve"> </w:t>
      </w:r>
      <w:r>
        <w:rPr>
          <w:color w:val="000000"/>
          <w:u w:val="single"/>
        </w:rPr>
        <w:t xml:space="preserve">                       </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黄刚</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柯林平</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 xml:space="preserve"> 管理体系审核计划（通知）书        </w:t>
      </w:r>
      <w:r>
        <w:rPr>
          <w:rFonts w:ascii="Wingdings 2" w:hAnsi="Wingdings 2"/>
          <w:szCs w:val="21"/>
        </w:rPr>
        <w:sym w:font="Wingdings 2" w:char="F0A2"/>
      </w:r>
      <w:r>
        <w:rPr>
          <w:rFonts w:hint="eastAsia"/>
          <w:szCs w:val="21"/>
        </w:rPr>
        <w:t xml:space="preserve"> 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 xml:space="preserve"> 不符合项报告                      </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 xml:space="preserve">承诺人   审核组长：       </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黄刚</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2021-N1FSMS-1012239</w:t>
            </w:r>
          </w:p>
        </w:tc>
        <w:tc>
          <w:tcPr>
            <w:tcW w:w="3145" w:type="dxa"/>
            <w:vAlign w:val="center"/>
          </w:tcPr>
          <w:p>
            <w:pPr>
              <w:spacing w:line="360" w:lineRule="auto"/>
              <w:jc w:val="center"/>
              <w:rPr>
                <w:b/>
                <w:szCs w:val="21"/>
              </w:rPr>
            </w:pPr>
            <w:r>
              <w:rPr>
                <w:b/>
                <w:szCs w:val="21"/>
              </w:rPr>
              <w:t>FI-2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柯林平</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2021-N1FSMS-3050340</w:t>
            </w:r>
          </w:p>
        </w:tc>
        <w:tc>
          <w:tcPr>
            <w:tcW w:w="3145" w:type="dxa"/>
            <w:vAlign w:val="center"/>
          </w:tcPr>
          <w:p>
            <w:pPr>
              <w:spacing w:line="360" w:lineRule="auto"/>
              <w:jc w:val="center"/>
              <w:rPr>
                <w:b/>
                <w:szCs w:val="21"/>
              </w:rPr>
            </w:pPr>
            <w:r>
              <w:rPr>
                <w:b/>
                <w:szCs w:val="21"/>
              </w:rPr>
              <w:t>FI-2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  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食品安全管理体系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ISO 22000:2018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 xml:space="preserve">1.5.1 审核时间：  </w:t>
      </w:r>
      <w:bookmarkStart w:id="16" w:name="审核日期"/>
      <w:r>
        <w:rPr>
          <w:rFonts w:hint="eastAsia"/>
          <w:color w:val="auto"/>
          <w:kern w:val="2"/>
          <w:sz w:val="21"/>
          <w:szCs w:val="21"/>
        </w:rPr>
        <w:t>2024年0</w:t>
      </w:r>
      <w:r>
        <w:rPr>
          <w:rFonts w:hint="eastAsia"/>
          <w:color w:val="auto"/>
          <w:kern w:val="2"/>
          <w:sz w:val="21"/>
          <w:szCs w:val="21"/>
          <w:lang w:val="en-US" w:eastAsia="zh-CN"/>
        </w:rPr>
        <w:t>2</w:t>
      </w:r>
      <w:r>
        <w:rPr>
          <w:rFonts w:hint="eastAsia"/>
          <w:color w:val="auto"/>
          <w:kern w:val="2"/>
          <w:sz w:val="21"/>
          <w:szCs w:val="21"/>
        </w:rPr>
        <w:t>月2</w:t>
      </w:r>
      <w:r>
        <w:rPr>
          <w:rFonts w:hint="eastAsia"/>
          <w:color w:val="auto"/>
          <w:kern w:val="2"/>
          <w:sz w:val="21"/>
          <w:szCs w:val="21"/>
          <w:lang w:val="en-US" w:eastAsia="zh-CN"/>
        </w:rPr>
        <w:t>8</w:t>
      </w:r>
      <w:r>
        <w:rPr>
          <w:rFonts w:hint="eastAsia"/>
          <w:color w:val="auto"/>
          <w:kern w:val="2"/>
          <w:sz w:val="21"/>
          <w:szCs w:val="21"/>
        </w:rPr>
        <w:t>日 上午至2024年0</w:t>
      </w:r>
      <w:r>
        <w:rPr>
          <w:rFonts w:hint="eastAsia"/>
          <w:color w:val="auto"/>
          <w:kern w:val="2"/>
          <w:sz w:val="21"/>
          <w:szCs w:val="21"/>
          <w:lang w:val="en-US" w:eastAsia="zh-CN"/>
        </w:rPr>
        <w:t>2</w:t>
      </w:r>
      <w:r>
        <w:rPr>
          <w:rFonts w:hint="eastAsia"/>
          <w:color w:val="auto"/>
          <w:kern w:val="2"/>
          <w:sz w:val="21"/>
          <w:szCs w:val="21"/>
        </w:rPr>
        <w:t>月2</w:t>
      </w:r>
      <w:r>
        <w:rPr>
          <w:rFonts w:hint="eastAsia"/>
          <w:color w:val="auto"/>
          <w:kern w:val="2"/>
          <w:sz w:val="21"/>
          <w:szCs w:val="21"/>
          <w:lang w:val="en-US" w:eastAsia="zh-CN"/>
        </w:rPr>
        <w:t>8</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北京市丰台区花乡新发地农工商联合公司院内新发地农产品市场商业街一层71号</w:t>
      </w:r>
      <w:bookmarkEnd w:id="21"/>
    </w:p>
    <w:p>
      <w:pPr>
        <w:spacing w:line="360" w:lineRule="auto"/>
        <w:ind w:firstLine="420" w:firstLineChars="200"/>
      </w:pPr>
      <w:r>
        <w:rPr>
          <w:rFonts w:hint="eastAsia"/>
        </w:rPr>
        <w:t xml:space="preserve">办公地址： </w:t>
      </w:r>
    </w:p>
    <w:p>
      <w:pPr>
        <w:spacing w:line="360" w:lineRule="auto"/>
        <w:ind w:firstLine="420" w:firstLineChars="200"/>
      </w:pPr>
      <w:r>
        <w:rPr>
          <w:rFonts w:hint="eastAsia"/>
        </w:rPr>
        <w:t>经营地址：</w:t>
      </w:r>
      <w:bookmarkStart w:id="22" w:name="生产地址"/>
      <w:r>
        <w:t>北京市丰台区花乡新发地农工商联合公司院内新发地农产品市场商业街一层71号</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 xml:space="preserve">开工和竣工时间）： </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 xml:space="preserve">经现场审核，暂停证书的原因是否消除： </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 xml:space="preserve">1）审核计划的调整：   </w:t>
      </w:r>
      <w:r>
        <w:rPr>
          <w:rFonts w:hint="eastAsia" w:cs="宋体"/>
          <w:b/>
          <w:color w:val="auto"/>
          <w:sz w:val="21"/>
          <w:szCs w:val="21"/>
        </w:rPr>
        <w:t>□</w:t>
      </w:r>
      <w:r>
        <w:rPr>
          <w:rFonts w:hint="eastAsia"/>
          <w:color w:val="auto"/>
          <w:kern w:val="2"/>
          <w:sz w:val="21"/>
          <w:szCs w:val="21"/>
        </w:rPr>
        <w:t xml:space="preserve">未调整； </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 xml:space="preserve">2）审核活动完成情况： </w:t>
      </w:r>
      <w:r>
        <w:rPr>
          <w:rFonts w:hint="eastAsia" w:cs="宋体"/>
          <w:b/>
          <w:kern w:val="0"/>
          <w:szCs w:val="21"/>
        </w:rPr>
        <w:t>□</w:t>
      </w:r>
      <w:r>
        <w:rPr>
          <w:rFonts w:hint="eastAsia"/>
          <w:szCs w:val="21"/>
        </w:rPr>
        <w:t xml:space="preserve">完成了全部审核计划内容，未遇到可能影响审核结论可靠性的不确定因素  </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 xml:space="preserve">： </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 ）项，轻微不符合项（ ）项，涉及部门/条款: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 xml:space="preserve">现场跟踪   </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 年 月 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 xml:space="preserve">2）风险提示： </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199916225"/>
      <w:bookmarkStart w:id="25" w:name="_Toc204739688"/>
      <w:r>
        <w:rPr>
          <w:b/>
          <w:szCs w:val="21"/>
          <w:lang w:val="en-GB"/>
        </w:rPr>
        <w:t xml:space="preserve">                                 </w:t>
      </w:r>
      <w:r>
        <w:rPr>
          <w:rFonts w:hint="eastAsia"/>
          <w:b/>
          <w:szCs w:val="21"/>
          <w:lang w:val="en-GB"/>
        </w:rPr>
        <w:t xml:space="preserve">          </w:t>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 xml:space="preserve">重要审核点的监测及绩效                                          </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 xml:space="preserve">： </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199916229"/>
      <w:bookmarkStart w:id="27" w:name="_Toc199153393"/>
      <w:bookmarkStart w:id="28" w:name="_Toc204739691"/>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199153394"/>
      <w:bookmarkStart w:id="31" w:name="_Toc204739692"/>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 xml:space="preserve"> 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 xml:space="preserve"> 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4A732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768</Words>
  <Characters>4381</Characters>
  <Lines>36</Lines>
  <Paragraphs>10</Paragraphs>
  <TotalTime>8</TotalTime>
  <ScaleCrop>false</ScaleCrop>
  <LinksUpToDate>false</LinksUpToDate>
  <CharactersWithSpaces>5139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2024-02-23T08:38:19Z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2052-12.1.0.16388</vt:lpwstr>
  </property>
</Properties>
</file>