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sz w:val="28"/>
          <w:szCs w:val="28"/>
          <w:u w:val="single"/>
        </w:rPr>
      </w:pPr>
      <w:r>
        <w:rPr>
          <w:rFonts w:hint="eastAsia" w:ascii="楷体" w:hAnsi="楷体" w:eastAsia="楷体"/>
          <w:b/>
          <w:color w:val="000000"/>
          <w:sz w:val="32"/>
          <w:szCs w:val="32"/>
        </w:rPr>
        <w:t>受审核方：</w:t>
      </w:r>
      <w:r>
        <w:rPr>
          <w:rFonts w:ascii="宋体"/>
          <w:b/>
          <w:sz w:val="28"/>
          <w:szCs w:val="28"/>
        </w:rPr>
        <w:t>赤峰首安电力建设有限公司</w:t>
      </w:r>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Style w:val="8"/>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852"/>
        <w:gridCol w:w="707"/>
        <w:gridCol w:w="427"/>
        <w:gridCol w:w="2126"/>
        <w:gridCol w:w="1416"/>
        <w:gridCol w:w="850"/>
        <w:gridCol w:w="42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9"/>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6"/>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9"/>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1"/>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52" w:type="dxa"/>
            <w:vAlign w:val="center"/>
          </w:tcPr>
          <w:p>
            <w:pPr>
              <w:jc w:val="center"/>
              <w:rPr>
                <w:b/>
                <w:sz w:val="21"/>
                <w:szCs w:val="21"/>
              </w:rPr>
            </w:pPr>
            <w:r>
              <w:rPr>
                <w:rFonts w:hint="eastAsia"/>
                <w:b/>
                <w:sz w:val="21"/>
                <w:szCs w:val="21"/>
              </w:rPr>
              <w:t>职务</w:t>
            </w:r>
          </w:p>
        </w:tc>
        <w:tc>
          <w:tcPr>
            <w:tcW w:w="1134" w:type="dxa"/>
            <w:gridSpan w:val="2"/>
            <w:vAlign w:val="center"/>
          </w:tcPr>
          <w:p>
            <w:pPr>
              <w:jc w:val="center"/>
              <w:rPr>
                <w:b/>
                <w:sz w:val="21"/>
                <w:szCs w:val="21"/>
              </w:rPr>
            </w:pPr>
            <w:r>
              <w:rPr>
                <w:rFonts w:hint="eastAsia"/>
                <w:b/>
                <w:sz w:val="21"/>
                <w:szCs w:val="21"/>
              </w:rPr>
              <w:t>注册级别</w:t>
            </w:r>
          </w:p>
        </w:tc>
        <w:tc>
          <w:tcPr>
            <w:tcW w:w="2126" w:type="dxa"/>
            <w:vAlign w:val="center"/>
          </w:tcPr>
          <w:p>
            <w:pPr>
              <w:jc w:val="center"/>
              <w:rPr>
                <w:b/>
                <w:sz w:val="21"/>
                <w:szCs w:val="21"/>
              </w:rPr>
            </w:pPr>
            <w:r>
              <w:rPr>
                <w:rFonts w:hint="eastAsia"/>
                <w:b/>
                <w:sz w:val="21"/>
                <w:szCs w:val="21"/>
              </w:rPr>
              <w:t>审核员注册号</w:t>
            </w:r>
          </w:p>
        </w:tc>
        <w:tc>
          <w:tcPr>
            <w:tcW w:w="2693" w:type="dxa"/>
            <w:gridSpan w:val="3"/>
            <w:vAlign w:val="center"/>
          </w:tcPr>
          <w:p>
            <w:pPr>
              <w:jc w:val="center"/>
              <w:rPr>
                <w:b/>
                <w:sz w:val="21"/>
                <w:szCs w:val="21"/>
              </w:rPr>
            </w:pPr>
            <w:r>
              <w:rPr>
                <w:rFonts w:hint="eastAsia"/>
                <w:b/>
                <w:sz w:val="21"/>
                <w:szCs w:val="21"/>
              </w:rPr>
              <w:t>专业代码</w:t>
            </w:r>
          </w:p>
        </w:tc>
        <w:tc>
          <w:tcPr>
            <w:tcW w:w="1187"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852" w:type="dxa"/>
            <w:vAlign w:val="center"/>
          </w:tcPr>
          <w:p>
            <w:pPr>
              <w:jc w:val="center"/>
              <w:rPr>
                <w:b/>
                <w:sz w:val="21"/>
                <w:szCs w:val="21"/>
              </w:rPr>
            </w:pPr>
            <w:r>
              <w:rPr>
                <w:b/>
                <w:sz w:val="21"/>
                <w:szCs w:val="21"/>
              </w:rPr>
              <w:t>组长</w:t>
            </w:r>
          </w:p>
        </w:tc>
        <w:tc>
          <w:tcPr>
            <w:tcW w:w="1134" w:type="dxa"/>
            <w:gridSpan w:val="2"/>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126" w:type="dxa"/>
            <w:vAlign w:val="center"/>
          </w:tcPr>
          <w:p>
            <w:pPr>
              <w:jc w:val="center"/>
              <w:rPr>
                <w:b/>
                <w:sz w:val="21"/>
                <w:szCs w:val="21"/>
              </w:rPr>
            </w:pPr>
            <w:r>
              <w:rPr>
                <w:b/>
                <w:sz w:val="21"/>
                <w:szCs w:val="21"/>
              </w:rPr>
              <w:t>2019-N1QMS-3031946</w:t>
            </w:r>
          </w:p>
          <w:p>
            <w:pPr>
              <w:jc w:val="center"/>
              <w:rPr>
                <w:b/>
                <w:sz w:val="21"/>
                <w:szCs w:val="21"/>
              </w:rPr>
            </w:pPr>
            <w:r>
              <w:rPr>
                <w:b/>
                <w:sz w:val="21"/>
                <w:szCs w:val="21"/>
              </w:rPr>
              <w:t>2018-N1EMS-2031946</w:t>
            </w:r>
          </w:p>
          <w:p>
            <w:pPr>
              <w:jc w:val="center"/>
              <w:rPr>
                <w:b/>
                <w:sz w:val="21"/>
                <w:szCs w:val="21"/>
              </w:rPr>
            </w:pPr>
            <w:r>
              <w:rPr>
                <w:b/>
                <w:sz w:val="21"/>
                <w:szCs w:val="21"/>
              </w:rPr>
              <w:t>2019-N1OHSMS-2031946</w:t>
            </w:r>
          </w:p>
        </w:tc>
        <w:tc>
          <w:tcPr>
            <w:tcW w:w="2693" w:type="dxa"/>
            <w:gridSpan w:val="3"/>
            <w:vAlign w:val="center"/>
          </w:tcPr>
          <w:p>
            <w:pPr>
              <w:jc w:val="center"/>
              <w:rPr>
                <w:b/>
                <w:sz w:val="21"/>
                <w:szCs w:val="21"/>
              </w:rPr>
            </w:pPr>
            <w:r>
              <w:rPr>
                <w:b/>
                <w:sz w:val="21"/>
                <w:szCs w:val="21"/>
              </w:rPr>
              <w:t>Q:19.09.01,19.09.02,19.11.03,19.16.00,28.07.01</w:t>
            </w:r>
          </w:p>
          <w:p>
            <w:pPr>
              <w:jc w:val="center"/>
              <w:rPr>
                <w:b/>
                <w:sz w:val="21"/>
                <w:szCs w:val="21"/>
              </w:rPr>
            </w:pPr>
            <w:r>
              <w:rPr>
                <w:b/>
                <w:sz w:val="21"/>
                <w:szCs w:val="21"/>
              </w:rPr>
              <w:t>E:19.09.01,19.09.02,19.11.03,19.16.00,28.07.01</w:t>
            </w:r>
          </w:p>
          <w:p>
            <w:pPr>
              <w:jc w:val="center"/>
              <w:rPr>
                <w:b/>
                <w:sz w:val="21"/>
                <w:szCs w:val="21"/>
              </w:rPr>
            </w:pPr>
            <w:r>
              <w:rPr>
                <w:b/>
                <w:sz w:val="21"/>
                <w:szCs w:val="21"/>
              </w:rPr>
              <w:t>O:19.09.01,19.09.02,19.11.03,19.16.00,28.07.01</w:t>
            </w:r>
          </w:p>
        </w:tc>
        <w:tc>
          <w:tcPr>
            <w:tcW w:w="1187" w:type="dxa"/>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852" w:type="dxa"/>
          </w:tcPr>
          <w:p>
            <w:pPr>
              <w:rPr>
                <w:b/>
                <w:sz w:val="21"/>
                <w:szCs w:val="21"/>
              </w:rPr>
            </w:pPr>
          </w:p>
        </w:tc>
        <w:tc>
          <w:tcPr>
            <w:tcW w:w="1134" w:type="dxa"/>
            <w:gridSpan w:val="2"/>
          </w:tcPr>
          <w:p>
            <w:pPr>
              <w:rPr>
                <w:b/>
                <w:sz w:val="21"/>
                <w:szCs w:val="21"/>
              </w:rPr>
            </w:pPr>
          </w:p>
        </w:tc>
        <w:tc>
          <w:tcPr>
            <w:tcW w:w="2126" w:type="dxa"/>
          </w:tcPr>
          <w:p>
            <w:pPr>
              <w:rPr>
                <w:b/>
                <w:sz w:val="21"/>
                <w:szCs w:val="21"/>
              </w:rPr>
            </w:pPr>
          </w:p>
        </w:tc>
        <w:tc>
          <w:tcPr>
            <w:tcW w:w="2693" w:type="dxa"/>
            <w:gridSpan w:val="3"/>
          </w:tcPr>
          <w:p>
            <w:pPr>
              <w:rPr>
                <w:b/>
                <w:sz w:val="21"/>
                <w:szCs w:val="21"/>
              </w:rPr>
            </w:pPr>
          </w:p>
        </w:tc>
        <w:tc>
          <w:tcPr>
            <w:tcW w:w="1187"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1"/>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gridSpan w:val="2"/>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gridSpan w:val="2"/>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b/>
          <w:sz w:val="21"/>
          <w:szCs w:val="21"/>
        </w:rPr>
      </w:pPr>
      <w:r>
        <w:rPr>
          <w:rFonts w:hint="eastAsia" w:ascii="宋体" w:hAnsi="宋体"/>
          <w:b/>
          <w:sz w:val="21"/>
          <w:szCs w:val="21"/>
        </w:rPr>
        <w:t>■</w:t>
      </w: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ascii="宋体" w:hAnsi="宋体"/>
          <w:b/>
          <w:sz w:val="21"/>
          <w:szCs w:val="21"/>
        </w:rPr>
        <w:t>■</w:t>
      </w:r>
      <w:r>
        <w:rPr>
          <w:rFonts w:hint="eastAsia"/>
          <w:b/>
          <w:sz w:val="21"/>
          <w:szCs w:val="21"/>
        </w:rPr>
        <w:t>受审核方管理体系文件</w:t>
      </w:r>
      <w:r>
        <w:rPr>
          <w:rFonts w:hint="eastAsia" w:ascii="宋体" w:hAnsi="宋体"/>
          <w:b/>
          <w:sz w:val="21"/>
          <w:szCs w:val="21"/>
        </w:rPr>
        <w:t>■</w:t>
      </w:r>
      <w:r>
        <w:rPr>
          <w:rFonts w:hint="eastAsia"/>
          <w:b/>
          <w:sz w:val="21"/>
          <w:szCs w:val="21"/>
        </w:rPr>
        <w:t>适用的法律法规</w:t>
      </w:r>
      <w:r>
        <w:rPr>
          <w:rFonts w:hint="eastAsia" w:ascii="宋体" w:hAnsi="宋体"/>
          <w:b/>
          <w:sz w:val="21"/>
          <w:szCs w:val="21"/>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3655"/>
        <w:gridCol w:w="855"/>
        <w:gridCol w:w="707"/>
        <w:gridCol w:w="98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5217" w:type="dxa"/>
            <w:gridSpan w:val="3"/>
            <w:vAlign w:val="center"/>
          </w:tcPr>
          <w:p>
            <w:pPr>
              <w:spacing w:line="260" w:lineRule="exact"/>
              <w:jc w:val="center"/>
              <w:rPr>
                <w:rFonts w:ascii="宋体"/>
                <w:b/>
                <w:sz w:val="21"/>
              </w:rPr>
            </w:pPr>
            <w:bookmarkStart w:id="9" w:name="组织名称Add"/>
            <w:r>
              <w:rPr>
                <w:rFonts w:ascii="宋体"/>
                <w:b/>
                <w:sz w:val="21"/>
              </w:rPr>
              <w:t>赤峰首安电力建设有限公司</w:t>
            </w:r>
            <w:bookmarkEnd w:id="9"/>
          </w:p>
        </w:tc>
        <w:tc>
          <w:tcPr>
            <w:tcW w:w="985"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386" w:type="dxa"/>
          </w:tcPr>
          <w:p>
            <w:pPr>
              <w:spacing w:line="260" w:lineRule="exact"/>
              <w:rPr>
                <w:rFonts w:ascii="宋体"/>
                <w:b/>
                <w:sz w:val="21"/>
              </w:rPr>
            </w:pPr>
            <w:r>
              <w:rPr>
                <w:rFonts w:hint="eastAsia" w:ascii="宋体"/>
                <w:b/>
                <w:sz w:val="21"/>
              </w:rPr>
              <w:t>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5217" w:type="dxa"/>
            <w:gridSpan w:val="3"/>
          </w:tcPr>
          <w:p>
            <w:pPr>
              <w:rPr>
                <w:rFonts w:ascii="宋体"/>
                <w:b/>
                <w:sz w:val="21"/>
              </w:rPr>
            </w:pPr>
            <w:bookmarkStart w:id="10" w:name="注册地址"/>
            <w:r>
              <w:rPr>
                <w:rFonts w:ascii="宋体"/>
                <w:b/>
                <w:sz w:val="21"/>
              </w:rPr>
              <w:t>赤峰市松山区临潢大街南、松州路西香格里拉国际城小区27-1-01143、011412、011413、01147、01148</w:t>
            </w:r>
            <w:bookmarkEnd w:id="10"/>
          </w:p>
        </w:tc>
        <w:tc>
          <w:tcPr>
            <w:tcW w:w="985" w:type="dxa"/>
            <w:vMerge w:val="restart"/>
            <w:vAlign w:val="center"/>
          </w:tcPr>
          <w:p>
            <w:pPr>
              <w:jc w:val="center"/>
              <w:rPr>
                <w:rFonts w:ascii="宋体"/>
                <w:b/>
                <w:sz w:val="21"/>
              </w:rPr>
            </w:pPr>
            <w:r>
              <w:rPr>
                <w:rFonts w:hint="eastAsia" w:ascii="宋体" w:hAnsi="宋体"/>
                <w:b/>
                <w:sz w:val="21"/>
              </w:rPr>
              <w:t>邮编</w:t>
            </w:r>
          </w:p>
        </w:tc>
        <w:tc>
          <w:tcPr>
            <w:tcW w:w="1386" w:type="dxa"/>
          </w:tcPr>
          <w:p>
            <w:pPr>
              <w:rPr>
                <w:rFonts w:ascii="宋体"/>
                <w:b/>
                <w:sz w:val="21"/>
              </w:rPr>
            </w:pPr>
            <w:bookmarkStart w:id="11" w:name="注册邮编"/>
            <w:r>
              <w:rPr>
                <w:rFonts w:ascii="宋体"/>
                <w:b/>
                <w:sz w:val="21"/>
              </w:rPr>
              <w:t>024001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5217" w:type="dxa"/>
            <w:gridSpan w:val="3"/>
          </w:tcPr>
          <w:p>
            <w:pPr>
              <w:rPr>
                <w:rFonts w:ascii="宋体"/>
                <w:b/>
                <w:sz w:val="21"/>
              </w:rPr>
            </w:pPr>
            <w:bookmarkStart w:id="12" w:name="办公地址"/>
            <w:r>
              <w:rPr>
                <w:rFonts w:ascii="宋体"/>
                <w:b/>
                <w:sz w:val="21"/>
              </w:rPr>
              <w:t>赤峰市松山区临潢大街南、松州路西香格里拉国际城小区27-1-01143、011412、011413、01147、01148</w:t>
            </w:r>
            <w:bookmarkEnd w:id="12"/>
          </w:p>
        </w:tc>
        <w:tc>
          <w:tcPr>
            <w:tcW w:w="985" w:type="dxa"/>
            <w:vMerge w:val="continue"/>
            <w:vAlign w:val="center"/>
          </w:tcPr>
          <w:p>
            <w:pPr>
              <w:jc w:val="center"/>
              <w:rPr>
                <w:rFonts w:ascii="宋体"/>
                <w:b/>
                <w:sz w:val="21"/>
              </w:rPr>
            </w:pPr>
          </w:p>
        </w:tc>
        <w:tc>
          <w:tcPr>
            <w:tcW w:w="1386" w:type="dxa"/>
          </w:tcPr>
          <w:p>
            <w:pPr>
              <w:rPr>
                <w:rFonts w:ascii="宋体"/>
                <w:b/>
                <w:sz w:val="21"/>
              </w:rPr>
            </w:pPr>
            <w:bookmarkStart w:id="13" w:name="办公邮编"/>
            <w:r>
              <w:rPr>
                <w:rFonts w:ascii="宋体"/>
                <w:b/>
                <w:sz w:val="21"/>
              </w:rPr>
              <w:t>024001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5217" w:type="dxa"/>
            <w:gridSpan w:val="3"/>
          </w:tcPr>
          <w:p>
            <w:pPr>
              <w:rPr>
                <w:rFonts w:ascii="宋体"/>
                <w:b/>
                <w:sz w:val="21"/>
              </w:rPr>
            </w:pPr>
            <w:bookmarkStart w:id="14" w:name="生产地址Add"/>
            <w:r>
              <w:rPr>
                <w:rFonts w:ascii="宋体"/>
                <w:b/>
                <w:sz w:val="21"/>
              </w:rPr>
              <w:t>赤峰市松山区临潢大街南、松州路西香格里拉国际城小区27-1-01143、011412、011413、01147、01148</w:t>
            </w:r>
            <w:bookmarkEnd w:id="14"/>
          </w:p>
        </w:tc>
        <w:tc>
          <w:tcPr>
            <w:tcW w:w="985" w:type="dxa"/>
            <w:vMerge w:val="continue"/>
            <w:vAlign w:val="center"/>
          </w:tcPr>
          <w:p>
            <w:pPr>
              <w:jc w:val="center"/>
              <w:rPr>
                <w:rFonts w:ascii="宋体"/>
                <w:b/>
                <w:sz w:val="21"/>
              </w:rPr>
            </w:pPr>
          </w:p>
        </w:tc>
        <w:tc>
          <w:tcPr>
            <w:tcW w:w="1386" w:type="dxa"/>
          </w:tcPr>
          <w:p>
            <w:pPr>
              <w:rPr>
                <w:rFonts w:ascii="宋体"/>
                <w:b/>
                <w:sz w:val="21"/>
              </w:rPr>
            </w:pPr>
            <w:bookmarkStart w:id="15" w:name="生产邮编"/>
            <w:r>
              <w:rPr>
                <w:rFonts w:ascii="宋体"/>
                <w:b/>
                <w:sz w:val="21"/>
              </w:rPr>
              <w:t>024001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3655" w:type="dxa"/>
            <w:vAlign w:val="center"/>
          </w:tcPr>
          <w:p>
            <w:pPr>
              <w:jc w:val="center"/>
              <w:rPr>
                <w:rFonts w:ascii="宋体"/>
                <w:b/>
                <w:sz w:val="21"/>
              </w:rPr>
            </w:pPr>
            <w:bookmarkStart w:id="16" w:name="联系人"/>
            <w:r>
              <w:rPr>
                <w:rFonts w:ascii="宋体"/>
                <w:b/>
                <w:sz w:val="21"/>
              </w:rPr>
              <w:t>张梦婷</w:t>
            </w:r>
            <w:bookmarkEnd w:id="16"/>
          </w:p>
        </w:tc>
        <w:tc>
          <w:tcPr>
            <w:tcW w:w="855" w:type="dxa"/>
            <w:vAlign w:val="center"/>
          </w:tcPr>
          <w:p>
            <w:pPr>
              <w:jc w:val="center"/>
              <w:rPr>
                <w:rFonts w:ascii="宋体"/>
                <w:b/>
                <w:sz w:val="21"/>
              </w:rPr>
            </w:pPr>
            <w:r>
              <w:rPr>
                <w:rFonts w:hint="eastAsia" w:ascii="宋体" w:hAnsi="宋体"/>
                <w:b/>
                <w:sz w:val="21"/>
              </w:rPr>
              <w:t>电话</w:t>
            </w:r>
            <w:r>
              <w:rPr>
                <w:b/>
                <w:sz w:val="16"/>
                <w:szCs w:val="16"/>
              </w:rPr>
              <w:t>.</w:t>
            </w:r>
          </w:p>
        </w:tc>
        <w:tc>
          <w:tcPr>
            <w:tcW w:w="707" w:type="dxa"/>
            <w:vAlign w:val="center"/>
          </w:tcPr>
          <w:p>
            <w:pPr>
              <w:jc w:val="center"/>
              <w:rPr>
                <w:rFonts w:ascii="宋体"/>
                <w:b/>
                <w:sz w:val="21"/>
              </w:rPr>
            </w:pPr>
            <w:bookmarkStart w:id="17" w:name="联系人电话Add"/>
            <w:r>
              <w:rPr>
                <w:rFonts w:ascii="宋体"/>
                <w:b/>
                <w:sz w:val="21"/>
              </w:rPr>
              <w:t>17547693689</w:t>
            </w:r>
            <w:bookmarkEnd w:id="17"/>
          </w:p>
        </w:tc>
        <w:tc>
          <w:tcPr>
            <w:tcW w:w="985" w:type="dxa"/>
            <w:vAlign w:val="center"/>
          </w:tcPr>
          <w:p>
            <w:pPr>
              <w:jc w:val="center"/>
              <w:rPr>
                <w:rFonts w:ascii="宋体"/>
                <w:b/>
                <w:sz w:val="21"/>
              </w:rPr>
            </w:pPr>
            <w:r>
              <w:rPr>
                <w:rFonts w:hint="eastAsia" w:ascii="宋体" w:hAnsi="宋体"/>
                <w:b/>
                <w:sz w:val="21"/>
              </w:rPr>
              <w:t>传真</w:t>
            </w:r>
          </w:p>
        </w:tc>
        <w:tc>
          <w:tcPr>
            <w:tcW w:w="1386"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3655" w:type="dxa"/>
            <w:vAlign w:val="center"/>
          </w:tcPr>
          <w:p>
            <w:pPr>
              <w:jc w:val="center"/>
              <w:rPr>
                <w:rFonts w:ascii="宋体" w:hAnsi="宋体"/>
                <w:b/>
                <w:sz w:val="21"/>
                <w:szCs w:val="21"/>
              </w:rPr>
            </w:pPr>
            <w:bookmarkStart w:id="19" w:name="法人"/>
            <w:r>
              <w:rPr>
                <w:rFonts w:ascii="宋体" w:hAnsi="宋体"/>
                <w:b/>
                <w:sz w:val="21"/>
                <w:szCs w:val="21"/>
              </w:rPr>
              <w:t>张勤</w:t>
            </w:r>
            <w:bookmarkEnd w:id="19"/>
          </w:p>
        </w:tc>
        <w:tc>
          <w:tcPr>
            <w:tcW w:w="855" w:type="dxa"/>
            <w:vAlign w:val="center"/>
          </w:tcPr>
          <w:p>
            <w:pPr>
              <w:jc w:val="center"/>
              <w:rPr>
                <w:rFonts w:ascii="宋体" w:hAnsi="宋体"/>
                <w:b/>
                <w:sz w:val="21"/>
                <w:szCs w:val="21"/>
              </w:rPr>
            </w:pPr>
            <w:r>
              <w:rPr>
                <w:rFonts w:hint="eastAsia" w:ascii="宋体" w:hAnsi="宋体"/>
                <w:b/>
                <w:sz w:val="21"/>
                <w:szCs w:val="21"/>
              </w:rPr>
              <w:t>总经理</w:t>
            </w:r>
          </w:p>
        </w:tc>
        <w:tc>
          <w:tcPr>
            <w:tcW w:w="707" w:type="dxa"/>
          </w:tcPr>
          <w:p>
            <w:pPr>
              <w:rPr>
                <w:rFonts w:ascii="宋体" w:hAnsi="宋体"/>
                <w:b/>
                <w:sz w:val="21"/>
                <w:szCs w:val="21"/>
              </w:rPr>
            </w:pPr>
            <w:r>
              <w:rPr>
                <w:rFonts w:ascii="宋体" w:hAnsi="宋体"/>
                <w:b/>
                <w:sz w:val="21"/>
                <w:szCs w:val="21"/>
              </w:rPr>
              <w:t>张勤</w:t>
            </w:r>
          </w:p>
        </w:tc>
        <w:tc>
          <w:tcPr>
            <w:tcW w:w="985" w:type="dxa"/>
            <w:vAlign w:val="center"/>
          </w:tcPr>
          <w:p>
            <w:pPr>
              <w:jc w:val="center"/>
              <w:rPr>
                <w:rFonts w:ascii="宋体" w:hAnsi="宋体"/>
                <w:b/>
                <w:sz w:val="21"/>
                <w:szCs w:val="21"/>
              </w:rPr>
            </w:pPr>
            <w:r>
              <w:rPr>
                <w:rFonts w:hint="eastAsia" w:ascii="宋体" w:hAnsi="宋体"/>
                <w:b/>
                <w:sz w:val="21"/>
                <w:szCs w:val="21"/>
              </w:rPr>
              <w:t>管理者代表</w:t>
            </w:r>
          </w:p>
        </w:tc>
        <w:tc>
          <w:tcPr>
            <w:tcW w:w="1386" w:type="dxa"/>
          </w:tcPr>
          <w:p>
            <w:pPr>
              <w:rPr>
                <w:rFonts w:ascii="宋体"/>
                <w:b/>
                <w:sz w:val="21"/>
              </w:rPr>
            </w:pPr>
            <w:r>
              <w:rPr>
                <w:rFonts w:ascii="宋体"/>
                <w:b/>
                <w:sz w:val="21"/>
              </w:rPr>
              <w:t>张弛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4510" w:type="dxa"/>
            <w:gridSpan w:val="2"/>
            <w:vAlign w:val="center"/>
          </w:tcPr>
          <w:p>
            <w:pPr>
              <w:rPr>
                <w:rFonts w:ascii="宋体" w:hAnsi="宋体"/>
                <w:b/>
                <w:sz w:val="21"/>
                <w:szCs w:val="21"/>
              </w:rPr>
            </w:pPr>
            <w:bookmarkStart w:id="20" w:name="审核日期"/>
            <w:r>
              <w:rPr>
                <w:rFonts w:ascii="宋体" w:hAnsi="宋体"/>
                <w:b/>
                <w:sz w:val="21"/>
                <w:szCs w:val="21"/>
              </w:rPr>
              <w:t>2020年04月</w:t>
            </w:r>
            <w:r>
              <w:rPr>
                <w:rFonts w:hint="eastAsia" w:ascii="宋体" w:hAnsi="宋体"/>
                <w:b/>
                <w:sz w:val="21"/>
                <w:szCs w:val="21"/>
                <w:lang w:val="en-US" w:eastAsia="zh-CN"/>
              </w:rPr>
              <w:t>25</w:t>
            </w:r>
            <w:r>
              <w:rPr>
                <w:rFonts w:ascii="宋体" w:hAnsi="宋体"/>
                <w:b/>
                <w:sz w:val="21"/>
                <w:szCs w:val="21"/>
              </w:rPr>
              <w:t>日 上午至2020年04月</w:t>
            </w:r>
            <w:r>
              <w:rPr>
                <w:rFonts w:hint="eastAsia" w:ascii="宋体" w:hAnsi="宋体"/>
                <w:b/>
                <w:sz w:val="21"/>
                <w:szCs w:val="21"/>
                <w:lang w:val="en-US" w:eastAsia="zh-CN"/>
              </w:rPr>
              <w:t>29</w:t>
            </w:r>
            <w:r>
              <w:rPr>
                <w:rFonts w:ascii="宋体" w:hAnsi="宋体"/>
                <w:b/>
                <w:sz w:val="21"/>
                <w:szCs w:val="21"/>
              </w:rPr>
              <w:t>日 上午</w:t>
            </w:r>
            <w:bookmarkEnd w:id="20"/>
          </w:p>
        </w:tc>
        <w:tc>
          <w:tcPr>
            <w:tcW w:w="707" w:type="dxa"/>
            <w:vAlign w:val="center"/>
          </w:tcPr>
          <w:p>
            <w:pPr>
              <w:rPr>
                <w:rFonts w:ascii="宋体" w:hAnsi="宋体"/>
                <w:b/>
                <w:sz w:val="21"/>
                <w:szCs w:val="21"/>
              </w:rPr>
            </w:pPr>
            <w:r>
              <w:rPr>
                <w:rFonts w:hint="eastAsia" w:ascii="宋体" w:hAnsi="宋体"/>
                <w:b/>
                <w:sz w:val="21"/>
                <w:szCs w:val="21"/>
              </w:rPr>
              <w:t>一体化审核</w:t>
            </w:r>
          </w:p>
        </w:tc>
        <w:tc>
          <w:tcPr>
            <w:tcW w:w="2371" w:type="dxa"/>
            <w:gridSpan w:val="2"/>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rPr>
                <w:b/>
                <w:sz w:val="20"/>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b/>
                <w:sz w:val="21"/>
                <w:szCs w:val="21"/>
              </w:rPr>
              <w:t>□</w:t>
            </w:r>
            <w:bookmarkEnd w:id="22"/>
            <w:r>
              <w:rPr>
                <w:rFonts w:hint="eastAsia" w:ascii="宋体" w:hAnsi="宋体"/>
                <w:b/>
                <w:sz w:val="21"/>
                <w:szCs w:val="21"/>
              </w:rPr>
              <w:t>5</w:t>
            </w:r>
            <w:r>
              <w:rPr>
                <w:rFonts w:ascii="宋体" w:hAnsi="宋体"/>
                <w:b/>
                <w:sz w:val="21"/>
                <w:szCs w:val="21"/>
              </w:rPr>
              <w:t>0430</w:t>
            </w:r>
            <w:bookmarkStart w:id="23" w:name="审核范围"/>
            <w:r>
              <w:rPr>
                <w:sz w:val="20"/>
              </w:rPr>
              <w:t xml:space="preserve"> </w:t>
            </w:r>
            <w:r>
              <w:rPr>
                <w:b/>
                <w:sz w:val="20"/>
              </w:rPr>
              <w:t>资质范围内电力设施的承修、承装、承试及相关服务；资质范围内10KV高压开关柜、分支箱、变压器、低压抽出式开关设备、箱式变电站、低压无功补偿装置的制造及相关服务。</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b/>
                <w:sz w:val="20"/>
              </w:rPr>
              <w:t>资质范围内电力设施的承修、承装、承试及相关服务；资质范围内10KV高压开关柜、分支箱、变压器、低压抽出式开关设备、箱式变电站、低压无功补偿装置的制造及相关服务所涉及的相关环境管理活动。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b/>
                <w:sz w:val="20"/>
              </w:rPr>
              <w:t>资质范围内电力设施的承修、承装、承试及相关服务；资质范围内10KV高压开关柜、分支箱、变压器、低压抽出式开关设备、箱式变电站、低压无功补偿装置的制造及相关服务所涉及的相关职业健康安全管理活动。</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both"/>
              <w:rPr>
                <w:rFonts w:ascii="宋体" w:hAnsi="宋体"/>
                <w:b/>
                <w:sz w:val="21"/>
                <w:szCs w:val="21"/>
              </w:rPr>
            </w:pPr>
            <w:r>
              <w:rPr>
                <w:rFonts w:hint="eastAsia" w:ascii="宋体" w:hAnsi="宋体"/>
                <w:b/>
                <w:sz w:val="21"/>
                <w:szCs w:val="21"/>
              </w:rPr>
              <w:t>专业代码</w:t>
            </w:r>
          </w:p>
        </w:tc>
        <w:tc>
          <w:tcPr>
            <w:tcW w:w="3655" w:type="dxa"/>
            <w:vAlign w:val="center"/>
          </w:tcPr>
          <w:p>
            <w:pPr>
              <w:spacing w:line="260" w:lineRule="exact"/>
              <w:jc w:val="both"/>
              <w:rPr>
                <w:rFonts w:ascii="宋体" w:hAnsi="宋体"/>
                <w:b/>
                <w:sz w:val="21"/>
                <w:szCs w:val="21"/>
              </w:rPr>
            </w:pPr>
            <w:bookmarkStart w:id="26" w:name="专业代码"/>
            <w:r>
              <w:rPr>
                <w:rFonts w:ascii="宋体" w:hAnsi="宋体"/>
                <w:b/>
                <w:sz w:val="21"/>
                <w:szCs w:val="21"/>
              </w:rPr>
              <w:t>Q：19.09.01;19.09.02;19.11.03;</w:t>
            </w:r>
          </w:p>
          <w:p>
            <w:pPr>
              <w:spacing w:line="260" w:lineRule="exact"/>
              <w:jc w:val="both"/>
              <w:rPr>
                <w:rFonts w:ascii="宋体" w:hAnsi="宋体"/>
                <w:b/>
                <w:sz w:val="21"/>
                <w:szCs w:val="21"/>
              </w:rPr>
            </w:pPr>
            <w:r>
              <w:rPr>
                <w:rFonts w:ascii="宋体" w:hAnsi="宋体"/>
                <w:b/>
                <w:sz w:val="21"/>
                <w:szCs w:val="21"/>
              </w:rPr>
              <w:t>19.16.00;28.07.01</w:t>
            </w:r>
          </w:p>
          <w:p>
            <w:pPr>
              <w:spacing w:line="260" w:lineRule="exact"/>
              <w:jc w:val="both"/>
              <w:rPr>
                <w:rFonts w:ascii="宋体" w:hAnsi="宋体"/>
                <w:b/>
                <w:sz w:val="21"/>
                <w:szCs w:val="21"/>
              </w:rPr>
            </w:pPr>
            <w:r>
              <w:rPr>
                <w:rFonts w:ascii="宋体" w:hAnsi="宋体"/>
                <w:b/>
                <w:sz w:val="21"/>
                <w:szCs w:val="21"/>
              </w:rPr>
              <w:t>E：19.09.01;19.09.02;19.11.03;</w:t>
            </w:r>
          </w:p>
          <w:p>
            <w:pPr>
              <w:spacing w:line="260" w:lineRule="exact"/>
              <w:jc w:val="both"/>
              <w:rPr>
                <w:rFonts w:ascii="宋体" w:hAnsi="宋体"/>
                <w:b/>
                <w:sz w:val="21"/>
                <w:szCs w:val="21"/>
              </w:rPr>
            </w:pPr>
            <w:r>
              <w:rPr>
                <w:rFonts w:ascii="宋体" w:hAnsi="宋体"/>
                <w:b/>
                <w:sz w:val="21"/>
                <w:szCs w:val="21"/>
              </w:rPr>
              <w:t>19.6.00;28.07.01</w:t>
            </w:r>
          </w:p>
          <w:p>
            <w:pPr>
              <w:spacing w:line="260" w:lineRule="exact"/>
              <w:jc w:val="both"/>
              <w:rPr>
                <w:rFonts w:ascii="宋体" w:hAnsi="宋体"/>
                <w:b/>
                <w:sz w:val="21"/>
                <w:szCs w:val="21"/>
              </w:rPr>
            </w:pPr>
            <w:r>
              <w:rPr>
                <w:rFonts w:ascii="宋体" w:hAnsi="宋体"/>
                <w:b/>
                <w:sz w:val="21"/>
                <w:szCs w:val="21"/>
              </w:rPr>
              <w:t>O：19.09.01;19.09.02;19.11.03;</w:t>
            </w:r>
          </w:p>
          <w:p>
            <w:pPr>
              <w:spacing w:line="260" w:lineRule="exact"/>
              <w:jc w:val="both"/>
              <w:rPr>
                <w:rFonts w:ascii="宋体" w:hAnsi="宋体"/>
                <w:b/>
                <w:sz w:val="21"/>
                <w:szCs w:val="21"/>
              </w:rPr>
            </w:pPr>
            <w:r>
              <w:rPr>
                <w:rFonts w:ascii="宋体" w:hAnsi="宋体"/>
                <w:b/>
                <w:sz w:val="21"/>
                <w:szCs w:val="21"/>
              </w:rPr>
              <w:t>19.6.00;28.07.01</w:t>
            </w:r>
            <w:bookmarkEnd w:id="26"/>
          </w:p>
        </w:tc>
        <w:tc>
          <w:tcPr>
            <w:tcW w:w="855" w:type="dxa"/>
            <w:vAlign w:val="center"/>
          </w:tcPr>
          <w:p>
            <w:pPr>
              <w:spacing w:line="260" w:lineRule="exact"/>
              <w:jc w:val="both"/>
              <w:rPr>
                <w:rFonts w:ascii="宋体" w:hAnsi="宋体"/>
                <w:b/>
                <w:sz w:val="21"/>
                <w:szCs w:val="21"/>
              </w:rPr>
            </w:pPr>
            <w:r>
              <w:rPr>
                <w:rFonts w:hint="eastAsia" w:ascii="宋体" w:hAnsi="宋体"/>
                <w:b/>
                <w:sz w:val="21"/>
                <w:szCs w:val="21"/>
              </w:rPr>
              <w:t>证书有</w:t>
            </w:r>
          </w:p>
          <w:p>
            <w:pPr>
              <w:spacing w:line="260" w:lineRule="exact"/>
              <w:jc w:val="both"/>
              <w:rPr>
                <w:rFonts w:ascii="宋体" w:hAnsi="宋体"/>
                <w:b/>
                <w:sz w:val="21"/>
                <w:szCs w:val="21"/>
              </w:rPr>
            </w:pPr>
            <w:r>
              <w:rPr>
                <w:rFonts w:hint="eastAsia" w:ascii="宋体" w:hAnsi="宋体"/>
                <w:b/>
                <w:sz w:val="21"/>
                <w:szCs w:val="21"/>
              </w:rPr>
              <w:t>效期</w:t>
            </w:r>
          </w:p>
        </w:tc>
        <w:tc>
          <w:tcPr>
            <w:tcW w:w="707" w:type="dxa"/>
            <w:vAlign w:val="center"/>
          </w:tcPr>
          <w:p>
            <w:pPr>
              <w:spacing w:line="260" w:lineRule="exact"/>
              <w:jc w:val="both"/>
              <w:rPr>
                <w:rFonts w:hint="default" w:ascii="宋体" w:hAnsi="宋体" w:eastAsia="宋体"/>
                <w:b/>
                <w:sz w:val="21"/>
                <w:szCs w:val="21"/>
                <w:lang w:val="en-US" w:eastAsia="zh-CN"/>
              </w:rPr>
            </w:pPr>
            <w:r>
              <w:rPr>
                <w:rFonts w:hint="eastAsia" w:ascii="宋体" w:hAnsi="宋体"/>
                <w:b/>
                <w:sz w:val="21"/>
                <w:szCs w:val="21"/>
                <w:lang w:val="en-US" w:eastAsia="zh-CN"/>
              </w:rPr>
              <w:t>三年</w:t>
            </w:r>
          </w:p>
        </w:tc>
        <w:tc>
          <w:tcPr>
            <w:tcW w:w="985" w:type="dxa"/>
            <w:vAlign w:val="center"/>
          </w:tcPr>
          <w:p>
            <w:pPr>
              <w:spacing w:line="260" w:lineRule="exact"/>
              <w:jc w:val="both"/>
              <w:rPr>
                <w:rFonts w:ascii="宋体" w:hAnsi="宋体"/>
                <w:b/>
                <w:sz w:val="21"/>
                <w:szCs w:val="21"/>
              </w:rPr>
            </w:pPr>
            <w:r>
              <w:rPr>
                <w:rFonts w:hint="eastAsia" w:ascii="宋体" w:hAnsi="宋体"/>
                <w:b/>
                <w:sz w:val="21"/>
                <w:szCs w:val="21"/>
              </w:rPr>
              <w:t>上年度</w:t>
            </w:r>
          </w:p>
          <w:p>
            <w:pPr>
              <w:spacing w:line="260" w:lineRule="exact"/>
              <w:jc w:val="both"/>
              <w:rPr>
                <w:rFonts w:ascii="宋体" w:hAnsi="宋体"/>
                <w:b/>
                <w:sz w:val="21"/>
                <w:szCs w:val="21"/>
              </w:rPr>
            </w:pPr>
            <w:r>
              <w:rPr>
                <w:rFonts w:hint="eastAsia" w:ascii="宋体" w:hAnsi="宋体"/>
                <w:b/>
                <w:sz w:val="21"/>
                <w:szCs w:val="21"/>
              </w:rPr>
              <w:t>审核日期</w:t>
            </w:r>
          </w:p>
        </w:tc>
        <w:tc>
          <w:tcPr>
            <w:tcW w:w="1386" w:type="dxa"/>
            <w:vAlign w:val="center"/>
          </w:tcPr>
          <w:p>
            <w:pPr>
              <w:spacing w:line="260" w:lineRule="exact"/>
              <w:jc w:val="both"/>
              <w:rPr>
                <w:rFonts w:ascii="宋体"/>
                <w:b/>
                <w:sz w:val="21"/>
              </w:rPr>
            </w:pPr>
            <w:r>
              <w:rPr>
                <w:rFonts w:hint="eastAsia" w:ascii="微软雅黑" w:hAnsi="微软雅黑" w:eastAsia="微软雅黑"/>
                <w:spacing w:val="14"/>
                <w:sz w:val="21"/>
                <w:szCs w:val="21"/>
              </w:rPr>
              <w:t>2019年2月16-20日</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本次审核覆盖时间：从上次审核结束日的2019年2月20日至2020年4月</w:t>
      </w:r>
      <w:r>
        <w:rPr>
          <w:rFonts w:hint="eastAsia" w:ascii="宋体" w:hAnsi="宋体"/>
          <w:b/>
          <w:sz w:val="21"/>
          <w:szCs w:val="21"/>
          <w:lang w:val="en-US" w:eastAsia="zh-CN"/>
        </w:rPr>
        <w:t>29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5"/>
        <w:tblpPr w:leftFromText="180" w:rightFromText="18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2" w:firstLineChars="200"/>
              <w:rPr>
                <w:rFonts w:ascii="宋体" w:hAnsi="宋体"/>
                <w:b/>
                <w:sz w:val="21"/>
                <w:szCs w:val="21"/>
              </w:rPr>
            </w:pPr>
            <w:r>
              <w:rPr>
                <w:rFonts w:hint="eastAsia" w:ascii="宋体" w:hAnsi="宋体"/>
                <w:b/>
                <w:sz w:val="21"/>
                <w:szCs w:val="21"/>
              </w:rPr>
              <w:t>审核范围：</w:t>
            </w:r>
            <w:r>
              <w:rPr>
                <w:b/>
                <w:sz w:val="20"/>
              </w:rPr>
              <w:t>资质范围内电力设施的承修、承装、承试及相关服务；资质范围内10KV高压开关柜、分支箱、变压器、低压抽出式开关设备、箱式变电站、低压无功补偿装置的制造及相关服务</w:t>
            </w:r>
            <w:r>
              <w:rPr>
                <w:rFonts w:hint="eastAsia" w:ascii="宋体" w:hAnsi="宋体"/>
                <w:b/>
                <w:sz w:val="21"/>
                <w:szCs w:val="2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2" w:firstLineChars="200"/>
              <w:rPr>
                <w:rFonts w:ascii="宋体" w:hAnsi="宋体"/>
                <w:b/>
                <w:sz w:val="21"/>
                <w:szCs w:val="21"/>
              </w:rPr>
            </w:pPr>
            <w:r>
              <w:rPr>
                <w:rFonts w:hint="eastAsia" w:ascii="宋体" w:hAnsi="宋体"/>
                <w:b/>
                <w:sz w:val="21"/>
                <w:szCs w:val="21"/>
              </w:rPr>
              <w:t>提供了《组织内外部环境因素识别表》：</w:t>
            </w:r>
          </w:p>
          <w:p>
            <w:pPr>
              <w:spacing w:line="280" w:lineRule="exact"/>
              <w:ind w:firstLine="422" w:firstLineChars="200"/>
              <w:rPr>
                <w:rFonts w:ascii="宋体" w:hAnsi="宋体" w:cs="宋体"/>
                <w:b/>
                <w:sz w:val="21"/>
                <w:szCs w:val="21"/>
              </w:rPr>
            </w:pPr>
            <w:r>
              <w:rPr>
                <w:rFonts w:hint="eastAsia" w:ascii="宋体" w:hAnsi="宋体" w:cs="宋体"/>
                <w:b/>
                <w:sz w:val="21"/>
                <w:szCs w:val="21"/>
              </w:rPr>
              <w:t>1.外部因素主要有：a)社会和文化、政治、法律、监管、金融、技术、经济、自然环境和竞争环境；b)影响公司管理目标的主要驱动和趋势；c)与外部利益相关者的价值观的关系。</w:t>
            </w:r>
          </w:p>
          <w:p>
            <w:pPr>
              <w:spacing w:line="280" w:lineRule="exact"/>
              <w:rPr>
                <w:rFonts w:ascii="宋体" w:hAnsi="宋体" w:cs="宋体"/>
                <w:b/>
                <w:sz w:val="21"/>
                <w:szCs w:val="21"/>
              </w:rPr>
            </w:pPr>
            <w:r>
              <w:rPr>
                <w:rFonts w:hint="eastAsia" w:ascii="宋体" w:hAnsi="宋体" w:cs="宋体"/>
                <w:b/>
                <w:sz w:val="21"/>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40" w:lineRule="exact"/>
              <w:ind w:firstLine="422" w:firstLineChars="200"/>
              <w:rPr>
                <w:rFonts w:ascii="宋体" w:hAnsi="宋体"/>
                <w:b/>
                <w:sz w:val="21"/>
                <w:szCs w:val="21"/>
              </w:rPr>
            </w:pPr>
            <w:r>
              <w:rPr>
                <w:rFonts w:hint="eastAsia" w:ascii="宋体" w:hAnsi="宋体" w:cs="宋体"/>
                <w:b/>
                <w:sz w:val="21"/>
                <w:szCs w:val="21"/>
              </w:rPr>
              <w:t>2.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评估表”，将需要应对的风险和机遇进行风险分析确定风险级别（一般风险、高风险），在管理体系所确定的过程（客户开发、供应商的要求等）中，整合制定针对性管理措施（如程序控制等）。提供了“经营环境分析及对策”，交流风险如战略失误、环保及人力资源成本上升、施工安全、竞争不断加剧等，主要措施确定战略应更加科学严谨；通过提高管理水平消化人力资源成本上升；加强采购、生产和施工等环节环保、安全生产等控制；通过差异化策略提高竞争力。效果待观察。机遇主要是现在社会需求不断增多。</w:t>
            </w:r>
          </w:p>
          <w:p>
            <w:pPr>
              <w:spacing w:line="240" w:lineRule="exact"/>
              <w:rPr>
                <w:rFonts w:ascii="宋体" w:hAnsi="宋体"/>
                <w:b/>
                <w:sz w:val="21"/>
                <w:szCs w:val="21"/>
              </w:rPr>
            </w:pPr>
            <w:r>
              <w:rPr>
                <w:rFonts w:hint="eastAsia" w:ascii="宋体" w:hAnsi="宋体"/>
                <w:b/>
                <w:sz w:val="21"/>
                <w:szCs w:val="21"/>
              </w:rPr>
              <w:t>公司管理层已确定了外部和内部因素，已经对经营环境、内外部环境进行分析并提出对策，并进行了监视和评审。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b/>
                <w:sz w:val="21"/>
                <w:szCs w:val="21"/>
              </w:rPr>
              <w:t>相关方包括顾客、所有者、组织中的成员、供应商、银行、工会、合伙人、竞争对手或社会团体或行业协会。在每年的管理评审前，由相关部门负责人进行识别并评估其适用性,具体部门及识别见管理评审输入。主要顾客群：住建局、开发商、交通局、城建局等</w:t>
            </w:r>
          </w:p>
          <w:p>
            <w:pPr>
              <w:spacing w:line="240" w:lineRule="exact"/>
              <w:ind w:firstLine="422" w:firstLineChars="200"/>
              <w:rPr>
                <w:rFonts w:ascii="宋体" w:hAnsi="宋体"/>
                <w:b/>
                <w:sz w:val="21"/>
                <w:szCs w:val="21"/>
              </w:rPr>
            </w:pPr>
            <w:r>
              <w:rPr>
                <w:rFonts w:hint="eastAsia" w:ascii="宋体" w:hAnsi="宋体"/>
                <w:b/>
                <w:sz w:val="21"/>
                <w:szCs w:val="21"/>
              </w:rPr>
              <w:t>相关方期望或要求监测与更新：管理者代表每年在管理评审前组织一次全面的内外部内外部环境要素识别与评审。</w:t>
            </w:r>
          </w:p>
          <w:p>
            <w:pPr>
              <w:spacing w:line="240" w:lineRule="exact"/>
              <w:ind w:firstLine="422" w:firstLineChars="200"/>
              <w:rPr>
                <w:rFonts w:ascii="宋体" w:hAnsi="宋体"/>
                <w:b/>
                <w:sz w:val="21"/>
                <w:szCs w:val="21"/>
              </w:rPr>
            </w:pPr>
            <w:r>
              <w:rPr>
                <w:rFonts w:hint="eastAsia" w:ascii="宋体" w:hAnsi="宋体"/>
                <w:b/>
                <w:sz w:val="21"/>
                <w:szCs w:val="21"/>
              </w:rPr>
              <w:t>各部门在获得内外部环境要素信息变化时，应及时告知管理者代表，由管理者代表对《相关方期望或要求识别表》进行修订。</w:t>
            </w:r>
          </w:p>
          <w:p>
            <w:pPr>
              <w:spacing w:line="240" w:lineRule="exact"/>
              <w:ind w:firstLine="422" w:firstLineChars="200"/>
              <w:rPr>
                <w:rFonts w:ascii="宋体" w:hAnsi="宋体"/>
                <w:b/>
                <w:sz w:val="21"/>
                <w:szCs w:val="21"/>
              </w:rPr>
            </w:pPr>
            <w:r>
              <w:rPr>
                <w:rFonts w:hint="eastAsia" w:ascii="宋体" w:hAnsi="宋体"/>
                <w:b/>
                <w:sz w:val="21"/>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before="100" w:after="50" w:line="400" w:lineRule="exact"/>
              <w:ind w:firstLine="422" w:firstLineChars="200"/>
              <w:rPr>
                <w:rFonts w:ascii="宋体" w:hAnsi="宋体" w:cs="宋体"/>
                <w:b/>
                <w:sz w:val="21"/>
                <w:szCs w:val="21"/>
              </w:rPr>
            </w:pPr>
            <w:r>
              <w:rPr>
                <w:rFonts w:hint="eastAsia" w:ascii="宋体" w:hAnsi="宋体" w:cs="宋体"/>
                <w:b/>
                <w:sz w:val="21"/>
                <w:szCs w:val="21"/>
              </w:rPr>
              <w:t>该公司管理方针为：“质量第一，顾客至上；安全环保，活力健康；科学管理，务实高效；守法诚信，改进创新。”</w:t>
            </w:r>
          </w:p>
          <w:p>
            <w:pPr>
              <w:spacing w:line="280" w:lineRule="exact"/>
              <w:ind w:firstLine="422" w:firstLineChars="200"/>
              <w:rPr>
                <w:rFonts w:ascii="宋体" w:hAnsi="宋体" w:cs="宋体"/>
                <w:b/>
                <w:sz w:val="21"/>
                <w:szCs w:val="21"/>
              </w:rPr>
            </w:pPr>
            <w:r>
              <w:rPr>
                <w:rFonts w:hint="eastAsia" w:ascii="宋体" w:hAnsi="宋体" w:cs="宋体"/>
                <w:b/>
                <w:sz w:val="21"/>
                <w:szCs w:val="21"/>
              </w:rPr>
              <w:t>公司以质量、环境、职业健康安全标准为基础，结合公司实际制定管理方针，与总经理进行交谈，总经理对方针内涵的理解较深刻。方针能为制定目标提供框架，方针基本符合标准的要求。</w:t>
            </w:r>
          </w:p>
          <w:p>
            <w:pPr>
              <w:spacing w:line="280" w:lineRule="exact"/>
              <w:ind w:firstLine="422" w:firstLineChars="200"/>
              <w:rPr>
                <w:rFonts w:ascii="宋体" w:hAnsi="宋体" w:cs="宋体"/>
                <w:b/>
                <w:sz w:val="21"/>
                <w:szCs w:val="21"/>
              </w:rPr>
            </w:pPr>
            <w:r>
              <w:rPr>
                <w:rFonts w:hint="eastAsia" w:ascii="宋体" w:hAnsi="宋体" w:cs="宋体"/>
                <w:b/>
                <w:sz w:val="21"/>
                <w:szCs w:val="21"/>
              </w:rPr>
              <w:t>总经理用会议、文件等手段保证管理方针为全体员工理解并落实到工作中。张勤总经理说管理评审时对方针的持续适宜性进行了评审，有评审记录。</w:t>
            </w:r>
          </w:p>
          <w:p>
            <w:pPr>
              <w:spacing w:line="280" w:lineRule="exact"/>
              <w:ind w:firstLine="422" w:firstLineChars="200"/>
              <w:rPr>
                <w:rFonts w:ascii="宋体" w:hAnsi="宋体"/>
                <w:b/>
                <w:sz w:val="21"/>
                <w:szCs w:val="21"/>
              </w:rPr>
            </w:pPr>
            <w:r>
              <w:rPr>
                <w:rFonts w:hint="eastAsia" w:ascii="宋体" w:hAnsi="宋体" w:cs="宋体"/>
                <w:b/>
                <w:sz w:val="21"/>
                <w:szCs w:val="21"/>
              </w:rPr>
              <w:t>以上管理方针通过文件、培训等形式将公司管理方针传达给所有为公司工作或代表公司的人员，相关方也可通过综合部获取公司管理方针。</w:t>
            </w:r>
            <w:r>
              <w:rPr>
                <w:rFonts w:hint="eastAsia" w:ascii="宋体" w:hAnsi="宋体"/>
                <w:b/>
                <w:sz w:val="21"/>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spacing w:line="280" w:lineRule="exact"/>
              <w:rPr>
                <w:rFonts w:ascii="宋体" w:hAnsi="宋体"/>
                <w:b/>
                <w:sz w:val="21"/>
                <w:szCs w:val="21"/>
              </w:rPr>
            </w:pPr>
            <w:r>
              <w:rPr>
                <w:rFonts w:hint="eastAsia" w:ascii="宋体" w:hAnsi="宋体"/>
                <w:b/>
                <w:sz w:val="21"/>
                <w:szCs w:val="21"/>
              </w:rPr>
              <w:t>制定了《风险和机遇的应对控制程序》，明确风险和机遇事件的识别方法/途径、风险和机遇事件的评估方式、制定主要风险和机遇事件的应对措施的要求、评价这些措施有效性的方法。</w:t>
            </w:r>
          </w:p>
          <w:p>
            <w:pPr>
              <w:spacing w:line="280" w:lineRule="exact"/>
              <w:ind w:firstLine="422" w:firstLineChars="200"/>
              <w:rPr>
                <w:rFonts w:ascii="宋体" w:hAnsi="宋体"/>
                <w:b/>
                <w:sz w:val="21"/>
                <w:szCs w:val="21"/>
              </w:rPr>
            </w:pPr>
            <w:r>
              <w:rPr>
                <w:rFonts w:hint="eastAsia" w:ascii="宋体" w:hAnsi="宋体"/>
                <w:b/>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80" w:lineRule="exact"/>
              <w:ind w:firstLine="422" w:firstLineChars="200"/>
              <w:rPr>
                <w:rFonts w:ascii="宋体" w:hAnsi="宋体"/>
                <w:b/>
                <w:sz w:val="21"/>
                <w:szCs w:val="21"/>
              </w:rPr>
            </w:pPr>
            <w:r>
              <w:rPr>
                <w:rFonts w:hint="eastAsia" w:ascii="宋体" w:hAnsi="宋体"/>
                <w:b/>
                <w:sz w:val="21"/>
                <w:szCs w:val="2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80" w:lineRule="exact"/>
              <w:ind w:firstLine="422" w:firstLineChars="200"/>
              <w:rPr>
                <w:rFonts w:ascii="宋体" w:hAnsi="宋体"/>
                <w:b/>
                <w:sz w:val="21"/>
                <w:szCs w:val="21"/>
              </w:rPr>
            </w:pPr>
            <w:r>
              <w:rPr>
                <w:rFonts w:hint="eastAsia" w:ascii="宋体" w:hAnsi="宋体"/>
                <w:b/>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质量管理体系过程有：人力资源、基础设施、文件、机构、职责、产品和服务的要求、外部提供的产品和服务、产品放行、不合格输出控制、绩效评价、改进等；</w:t>
            </w:r>
          </w:p>
          <w:p>
            <w:pPr>
              <w:spacing w:line="280" w:lineRule="exact"/>
              <w:ind w:right="355" w:rightChars="148" w:firstLine="422" w:firstLineChars="200"/>
              <w:rPr>
                <w:b/>
                <w:sz w:val="21"/>
                <w:szCs w:val="21"/>
              </w:rPr>
            </w:pPr>
            <w:r>
              <w:rPr>
                <w:rFonts w:hint="eastAsia"/>
                <w:b/>
                <w:sz w:val="21"/>
                <w:szCs w:val="21"/>
              </w:rPr>
              <w:t>识别确认的特殊过程为：接地极焊接、电缆头的制作；符合要求。</w:t>
            </w:r>
          </w:p>
          <w:p>
            <w:pPr>
              <w:spacing w:line="280" w:lineRule="exact"/>
              <w:ind w:right="355" w:rightChars="148" w:firstLine="422" w:firstLineChars="200"/>
              <w:rPr>
                <w:b/>
                <w:sz w:val="21"/>
                <w:szCs w:val="21"/>
              </w:rPr>
            </w:pPr>
            <w:r>
              <w:rPr>
                <w:rFonts w:hint="eastAsia"/>
                <w:b/>
                <w:sz w:val="21"/>
                <w:szCs w:val="21"/>
              </w:rPr>
              <w:t>查到《特殊过程鉴定记录》,显示了特殊过程操作人员、原材料、设备、工序控制及过程评价的确认要求。符合要求。</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30" o:spid="_x0000_s1030"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31" o:spid="_x0000_s103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ascii="宋体" w:hAnsi="宋体"/>
                <w:b/>
                <w:sz w:val="21"/>
                <w:szCs w:val="21"/>
              </w:rPr>
              <w:t xml:space="preserve"> Q8.3</w:t>
            </w:r>
            <w:r>
              <w:rPr>
                <w:rFonts w:hint="eastAsia" w:ascii="宋体" w:hAnsi="宋体"/>
                <w:b/>
                <w:sz w:val="21"/>
                <w:szCs w:val="21"/>
              </w:rPr>
              <w:t>，删减理由：按顾客提供图纸施工及相关标准进行生产和施工 GB/T19001-2016标</w:t>
            </w:r>
            <w:r>
              <w:rPr>
                <w:rFonts w:hint="eastAsia" w:ascii="宋体" w:hAnsi="宋体"/>
                <w:b/>
                <w:sz w:val="21"/>
                <w:szCs w:val="21"/>
                <w:u w:val="single"/>
              </w:rPr>
              <w:t>准8.3 条款不适用。删减后不影响向顾客提供合格产品及法律法规要求。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根据公司经营性质，识别了各部门和场所的环境因素，并对环境因素进行了评价，评价出了重要环境因素（噪声的排放、粉尘排放、固废/危废的排物、火灾、爆炸、污水的排放、能源/资源消耗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根据组织经营性质，识别了各部门和场所的危险源，并对危险源进行了评价，评价出不可接受风险（火灾、触电、物体打击、机械伤害、高处坠落、中暑、食物中毒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pStyle w:val="13"/>
              <w:numPr>
                <w:ilvl w:val="0"/>
                <w:numId w:val="1"/>
              </w:numPr>
              <w:tabs>
                <w:tab w:val="left" w:pos="540"/>
              </w:tabs>
              <w:spacing w:line="300" w:lineRule="exact"/>
              <w:ind w:firstLineChars="0"/>
              <w:rPr>
                <w:rFonts w:ascii="宋体" w:hAnsi="宋体"/>
                <w:b/>
                <w:color w:val="000000"/>
                <w:szCs w:val="21"/>
              </w:rPr>
            </w:pPr>
            <w:r>
              <w:rPr>
                <w:rFonts w:hint="eastAsia" w:ascii="宋体" w:hAnsi="宋体"/>
                <w:b/>
                <w:szCs w:val="21"/>
              </w:rPr>
              <w:t>法律法规的宣传方式：</w:t>
            </w:r>
            <w:r>
              <w:rPr>
                <w:rFonts w:hint="eastAsia" w:ascii="宋体" w:hAnsi="宋体"/>
                <w:b/>
                <w:color w:val="000000"/>
                <w:szCs w:val="21"/>
              </w:rPr>
              <w:t>■会议    ■网络    ■公示   ■其他</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80" w:lineRule="exact"/>
              <w:rPr>
                <w:rFonts w:ascii="宋体" w:hAnsi="宋体" w:cs="宋体"/>
                <w:b/>
                <w:sz w:val="21"/>
                <w:szCs w:val="21"/>
              </w:rPr>
            </w:pPr>
            <w:r>
              <w:rPr>
                <w:rFonts w:hint="eastAsia" w:ascii="宋体" w:hAnsi="宋体" w:cs="宋体"/>
                <w:b/>
                <w:sz w:val="21"/>
                <w:szCs w:val="21"/>
              </w:rPr>
              <w:t>管理目标是：</w:t>
            </w:r>
          </w:p>
          <w:p>
            <w:pPr>
              <w:spacing w:line="280" w:lineRule="exact"/>
              <w:ind w:firstLine="422" w:firstLineChars="200"/>
              <w:rPr>
                <w:rFonts w:ascii="宋体" w:hAnsi="宋体" w:cs="宋体"/>
                <w:b/>
                <w:sz w:val="21"/>
                <w:szCs w:val="21"/>
              </w:rPr>
            </w:pPr>
            <w:r>
              <w:rPr>
                <w:rFonts w:hint="eastAsia" w:ascii="宋体" w:hAnsi="宋体" w:cs="宋体"/>
                <w:b/>
                <w:sz w:val="21"/>
                <w:szCs w:val="21"/>
              </w:rPr>
              <w:t>质量目标：单位工程竣工合格率100%，产品最终验收合格率100%，合同履约率100%，顾客满意率95%以上。</w:t>
            </w:r>
          </w:p>
          <w:p>
            <w:pPr>
              <w:spacing w:line="280" w:lineRule="exact"/>
              <w:ind w:firstLine="422" w:firstLineChars="200"/>
              <w:rPr>
                <w:rFonts w:ascii="宋体" w:hAnsi="宋体" w:cs="宋体"/>
                <w:b/>
                <w:sz w:val="21"/>
                <w:szCs w:val="21"/>
              </w:rPr>
            </w:pPr>
            <w:r>
              <w:rPr>
                <w:rFonts w:hint="eastAsia" w:ascii="宋体" w:hAnsi="宋体" w:cs="宋体"/>
                <w:b/>
                <w:sz w:val="21"/>
                <w:szCs w:val="21"/>
              </w:rPr>
              <w:t>环境目标和指标：固废、噪声、粉尘、污水达标排放。</w:t>
            </w:r>
          </w:p>
          <w:p>
            <w:pPr>
              <w:spacing w:line="280" w:lineRule="exact"/>
              <w:ind w:firstLine="422" w:firstLineChars="200"/>
              <w:rPr>
                <w:rFonts w:ascii="宋体" w:hAnsi="宋体" w:cs="宋体"/>
                <w:b/>
                <w:sz w:val="21"/>
                <w:szCs w:val="21"/>
              </w:rPr>
            </w:pPr>
            <w:r>
              <w:rPr>
                <w:rFonts w:hint="eastAsia" w:ascii="宋体" w:hAnsi="宋体" w:cs="宋体"/>
                <w:b/>
                <w:sz w:val="21"/>
                <w:szCs w:val="21"/>
              </w:rPr>
              <w:t>职业健康安全目标和指标：千人工伤事故率＜5‰，重大伤亡事故为0，文明施工达标合格率为100%，职业病发生率为0。</w:t>
            </w:r>
          </w:p>
          <w:p>
            <w:pPr>
              <w:spacing w:line="280" w:lineRule="exact"/>
              <w:ind w:firstLine="402" w:firstLineChars="200"/>
              <w:rPr>
                <w:rFonts w:ascii="宋体" w:hAnsi="宋体" w:cs="宋体"/>
                <w:b/>
                <w:sz w:val="21"/>
                <w:szCs w:val="21"/>
              </w:rPr>
            </w:pPr>
            <w:r>
              <w:rPr>
                <w:rFonts w:hint="eastAsia" w:ascii="宋体" w:hAnsi="宋体"/>
                <w:b/>
                <w:color w:val="000000"/>
                <w:sz w:val="20"/>
              </w:rPr>
              <w:t>在公司各职能和层次上建立了质量、环境、职业健康安全目标，并制定了相应考核办法。基本适宜公司特点。目标具有可测量性，对目标完成情况进行了考核。对制订的管理方案实施情况定期进行检查。目前目标均考核完成。</w:t>
            </w:r>
            <w:r>
              <w:rPr>
                <w:rFonts w:hint="eastAsia" w:ascii="宋体" w:hAnsi="宋体"/>
                <w:b/>
                <w:sz w:val="21"/>
                <w:szCs w:val="21"/>
              </w:rPr>
              <w:t xml:space="preserve"> </w:t>
            </w:r>
            <w:r>
              <w:rPr>
                <w:rFonts w:hint="eastAsia" w:ascii="宋体" w:hAnsi="宋体" w:cs="宋体"/>
                <w:b/>
                <w:sz w:val="21"/>
                <w:szCs w:val="21"/>
              </w:rPr>
              <w:t>目标可测量，与公司管理方针一致。</w:t>
            </w:r>
          </w:p>
          <w:p>
            <w:pPr>
              <w:spacing w:line="280" w:lineRule="exact"/>
              <w:ind w:firstLine="422" w:firstLineChars="200"/>
              <w:rPr>
                <w:rFonts w:ascii="宋体" w:hAnsi="宋体" w:cs="宋体"/>
                <w:b/>
                <w:sz w:val="21"/>
                <w:szCs w:val="21"/>
              </w:rPr>
            </w:pPr>
            <w:r>
              <w:rPr>
                <w:rFonts w:hint="eastAsia" w:ascii="宋体" w:hAnsi="宋体" w:cs="宋体"/>
                <w:b/>
                <w:sz w:val="21"/>
                <w:szCs w:val="21"/>
              </w:rPr>
              <w:t>每季度由综合部按公司管理目标考核要求统计考核公司管理目标完成情况，查到2019年及公司2020年1-3月份公司管理目标完成情况，各项目标均已完成，考核人综合部，审批张勤。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color w:val="000000"/>
                <w:sz w:val="20"/>
              </w:rPr>
            </w:pPr>
            <w:r>
              <w:rPr>
                <w:rFonts w:hint="eastAsia" w:ascii="宋体" w:hAnsi="宋体"/>
                <w:b/>
                <w:color w:val="000000"/>
                <w:sz w:val="20"/>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ind w:firstLine="402" w:firstLineChars="200"/>
              <w:rPr>
                <w:rFonts w:ascii="宋体" w:hAnsi="宋体"/>
                <w:b/>
                <w:sz w:val="21"/>
                <w:szCs w:val="21"/>
              </w:rPr>
            </w:pPr>
            <w:r>
              <w:rPr>
                <w:rFonts w:hint="eastAsia" w:ascii="宋体" w:hAnsi="宋体"/>
                <w:b/>
                <w:color w:val="000000"/>
                <w:sz w:val="20"/>
              </w:rPr>
              <w:t>创建和更新文件时，标识和说明、格式、评审和批准等与规定要求相符。文件的存在形式以书面文件和电子版文件为准。公司G</w:t>
            </w:r>
            <w:r>
              <w:rPr>
                <w:rFonts w:ascii="宋体" w:hAnsi="宋体"/>
                <w:b/>
                <w:color w:val="000000"/>
                <w:sz w:val="20"/>
              </w:rPr>
              <w:t>B/T</w:t>
            </w:r>
            <w:r>
              <w:rPr>
                <w:rFonts w:hint="eastAsia" w:ascii="宋体" w:hAnsi="宋体"/>
                <w:b/>
                <w:color w:val="000000"/>
                <w:sz w:val="20"/>
              </w:rPr>
              <w:t>45001</w:t>
            </w:r>
            <w:r>
              <w:rPr>
                <w:rFonts w:ascii="宋体" w:hAnsi="宋体"/>
                <w:b/>
                <w:color w:val="000000"/>
                <w:sz w:val="20"/>
              </w:rPr>
              <w:t>-20</w:t>
            </w:r>
            <w:r>
              <w:rPr>
                <w:rFonts w:hint="eastAsia" w:ascii="宋体" w:hAnsi="宋体"/>
                <w:b/>
                <w:color w:val="000000"/>
                <w:sz w:val="20"/>
              </w:rPr>
              <w:t>20转版，经过文审修订后成文信息的控制基本符合要求。无其他变更。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8"/>
              <w:rPr>
                <w:rFonts w:ascii="宋体" w:hAnsi="宋体"/>
                <w:b/>
                <w:sz w:val="21"/>
                <w:szCs w:val="21"/>
              </w:rPr>
            </w:pPr>
            <w:r>
              <w:rPr>
                <w:rFonts w:hint="eastAsia" w:ascii="宋体" w:hAnsi="宋体"/>
                <w:b/>
                <w:sz w:val="21"/>
                <w:szCs w:val="21"/>
              </w:rPr>
              <w:t>该公司员工</w:t>
            </w:r>
            <w:r>
              <w:rPr>
                <w:rFonts w:hint="eastAsia" w:ascii="宋体" w:hAnsi="宋体"/>
                <w:b/>
                <w:sz w:val="21"/>
                <w:szCs w:val="21"/>
                <w:lang w:val="en-US" w:eastAsia="zh-CN"/>
              </w:rPr>
              <w:t>54</w:t>
            </w:r>
            <w:r>
              <w:rPr>
                <w:rFonts w:hint="eastAsia" w:ascii="宋体" w:hAnsi="宋体"/>
                <w:b/>
                <w:sz w:val="21"/>
                <w:szCs w:val="21"/>
              </w:rPr>
              <w:t>人，管理人员11人，各工种持证人数均能满足资质要求，人力资源满足要求。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tabs>
                <w:tab w:val="left" w:pos="2552"/>
              </w:tabs>
              <w:spacing w:line="360" w:lineRule="exact"/>
              <w:rPr>
                <w:rFonts w:ascii="宋体" w:hAnsi="宋体" w:cs="宋体"/>
                <w:b/>
                <w:sz w:val="21"/>
                <w:szCs w:val="21"/>
              </w:rPr>
            </w:pPr>
            <w:r>
              <w:rPr>
                <w:rFonts w:hint="eastAsia" w:ascii="宋体" w:hAnsi="宋体"/>
                <w:b/>
                <w:sz w:val="21"/>
                <w:szCs w:val="21"/>
              </w:rPr>
              <w:t>办公场所面积300平方左右。主要生产设备包括</w:t>
            </w:r>
            <w:r>
              <w:rPr>
                <w:rFonts w:hint="eastAsia" w:ascii="宋体" w:hAnsi="宋体" w:cs="宋体"/>
                <w:b/>
                <w:sz w:val="21"/>
                <w:szCs w:val="21"/>
              </w:rPr>
              <w:t>：</w:t>
            </w:r>
            <w:r>
              <w:rPr>
                <w:rFonts w:hint="eastAsia" w:ascii="宋体" w:hAnsi="宋体" w:cs="宋体"/>
                <w:b/>
                <w:color w:val="000000"/>
                <w:sz w:val="21"/>
                <w:szCs w:val="21"/>
              </w:rPr>
              <w:t>电焊机、冲孔机、切排机、弯排机、数控母线加工机、螺柱焊机、型材切割机、扬力数控转塔冲床、金方圆数控剪板机</w:t>
            </w:r>
            <w:r>
              <w:rPr>
                <w:rFonts w:hint="eastAsia" w:ascii="宋体" w:hAnsi="宋体" w:cs="宋体"/>
                <w:b/>
                <w:kern w:val="0"/>
                <w:szCs w:val="24"/>
                <w:lang w:val="zh-CN"/>
              </w:rPr>
              <w:t>、</w:t>
            </w:r>
            <w:r>
              <w:rPr>
                <w:rFonts w:hint="eastAsia" w:ascii="宋体" w:hAnsi="宋体" w:cs="宋体"/>
                <w:b/>
                <w:color w:val="000000"/>
                <w:sz w:val="21"/>
                <w:szCs w:val="21"/>
              </w:rPr>
              <w:t>起重设备、</w:t>
            </w:r>
            <w:r>
              <w:rPr>
                <w:rFonts w:hint="eastAsia"/>
                <w:b/>
                <w:sz w:val="21"/>
                <w:szCs w:val="21"/>
              </w:rPr>
              <w:t>电锤、电钻、无齿锯、压接钳、扭力扳手、开线钳</w:t>
            </w:r>
            <w:r>
              <w:rPr>
                <w:rFonts w:hint="eastAsia" w:ascii="宋体" w:hAnsi="宋体" w:cs="宋体"/>
                <w:b/>
                <w:sz w:val="21"/>
                <w:szCs w:val="21"/>
              </w:rPr>
              <w:t>及办公设备，如车辆、电脑、打印机、办公桌、空调</w:t>
            </w:r>
          </w:p>
          <w:p>
            <w:pPr>
              <w:spacing w:line="240" w:lineRule="exact"/>
              <w:ind w:firstLine="422" w:firstLineChars="200"/>
              <w:rPr>
                <w:rFonts w:ascii="宋体" w:hAnsi="宋体"/>
                <w:b/>
                <w:sz w:val="21"/>
                <w:szCs w:val="21"/>
              </w:rPr>
            </w:pPr>
            <w:r>
              <w:rPr>
                <w:rFonts w:hint="eastAsia" w:ascii="宋体" w:hAnsi="宋体"/>
                <w:b/>
                <w:sz w:val="21"/>
                <w:szCs w:val="21"/>
              </w:rPr>
              <w:t>办公设备，如电脑、打印机、复印机等。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b/>
                <w:sz w:val="21"/>
                <w:szCs w:val="21"/>
              </w:rPr>
              <w:t>施工环境有温度，风力等天气要求。</w:t>
            </w:r>
          </w:p>
          <w:p>
            <w:pPr>
              <w:spacing w:line="240" w:lineRule="exact"/>
              <w:ind w:firstLine="422" w:firstLineChars="200"/>
              <w:rPr>
                <w:rFonts w:ascii="宋体" w:hAnsi="宋体"/>
                <w:b/>
                <w:sz w:val="21"/>
                <w:szCs w:val="21"/>
              </w:rPr>
            </w:pPr>
            <w:r>
              <w:rPr>
                <w:rFonts w:hint="eastAsia" w:ascii="宋体" w:hAnsi="宋体"/>
                <w:b/>
                <w:sz w:val="21"/>
                <w:szCs w:val="21"/>
              </w:rPr>
              <w:t>办公、培训场所和内设备布置合理，通道畅通，照明设施齐全，办公室明亮，工作场所光线较充足。每月由行政部对工作环境进行定期检查。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tabs>
                <w:tab w:val="left" w:pos="2552"/>
              </w:tabs>
              <w:spacing w:line="360" w:lineRule="exact"/>
              <w:rPr>
                <w:rFonts w:ascii="宋体" w:hAnsi="宋体" w:cs="宋体"/>
                <w:b/>
                <w:sz w:val="21"/>
                <w:szCs w:val="21"/>
              </w:rPr>
            </w:pPr>
            <w:r>
              <w:rPr>
                <w:rFonts w:hint="eastAsia" w:ascii="宋体" w:hAnsi="宋体" w:cs="宋体"/>
                <w:b/>
                <w:sz w:val="21"/>
                <w:szCs w:val="21"/>
              </w:rPr>
              <w:t>监视测量设备为游标卡尺、耐压测试仪、接地电阻测试仪、电阻表、无功功率补偿装置工频过电压保护测试仪。提供校准证书见附件以上资源基本能满足管理体系运行的需要。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6" w:firstLineChars="150"/>
              <w:rPr>
                <w:rFonts w:ascii="宋体" w:hAnsi="宋体"/>
                <w:b/>
                <w:sz w:val="21"/>
                <w:szCs w:val="21"/>
              </w:rPr>
            </w:pPr>
            <w:r>
              <w:rPr>
                <w:rFonts w:hint="eastAsia" w:ascii="宋体" w:hAnsi="宋体"/>
                <w:b/>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ind w:firstLine="422" w:firstLineChars="200"/>
              <w:rPr>
                <w:rFonts w:ascii="宋体" w:hAnsi="宋体"/>
                <w:b/>
                <w:sz w:val="21"/>
                <w:szCs w:val="21"/>
              </w:rPr>
            </w:pPr>
            <w:r>
              <w:rPr>
                <w:rFonts w:hint="eastAsia" w:ascii="宋体" w:hAnsi="宋体"/>
                <w:b/>
                <w:sz w:val="21"/>
                <w:szCs w:val="21"/>
              </w:rPr>
              <w:t>公司明确组织知识作为公司的重要资源，按内部文件或外来文件予以受控管理。</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400" w:lineRule="exact"/>
              <w:ind w:firstLine="316" w:firstLineChars="150"/>
              <w:jc w:val="left"/>
              <w:rPr>
                <w:rFonts w:ascii="宋体" w:hAnsi="宋体"/>
                <w:b/>
                <w:sz w:val="21"/>
                <w:szCs w:val="21"/>
              </w:rPr>
            </w:pPr>
            <w:r>
              <w:rPr>
                <w:rFonts w:hint="eastAsia" w:ascii="宋体" w:hAnsi="宋体"/>
                <w:b/>
                <w:sz w:val="21"/>
                <w:szCs w:val="21"/>
              </w:rPr>
              <w:t>环保设施：</w:t>
            </w:r>
          </w:p>
          <w:p>
            <w:pPr>
              <w:spacing w:line="400" w:lineRule="exact"/>
              <w:ind w:firstLine="316" w:firstLineChars="150"/>
              <w:jc w:val="left"/>
              <w:rPr>
                <w:rFonts w:ascii="宋体" w:hAnsi="宋体"/>
                <w:b/>
                <w:sz w:val="21"/>
                <w:szCs w:val="21"/>
              </w:rPr>
            </w:pPr>
            <w:r>
              <w:rPr>
                <w:rFonts w:hint="eastAsia" w:ascii="宋体" w:hAnsi="宋体"/>
                <w:b/>
                <w:sz w:val="21"/>
                <w:szCs w:val="21"/>
              </w:rPr>
              <w:t xml:space="preserve">    灭火器、消火栓、垃圾桶等。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400" w:lineRule="exact"/>
              <w:ind w:firstLine="316" w:firstLineChars="150"/>
              <w:jc w:val="left"/>
              <w:rPr>
                <w:rFonts w:ascii="宋体" w:hAnsi="宋体"/>
                <w:b/>
                <w:sz w:val="21"/>
                <w:szCs w:val="21"/>
              </w:rPr>
            </w:pPr>
            <w:r>
              <w:rPr>
                <w:rFonts w:hint="eastAsia" w:ascii="宋体" w:hAnsi="宋体"/>
                <w:b/>
                <w:sz w:val="21"/>
                <w:szCs w:val="21"/>
              </w:rPr>
              <w:t>职业健康安全设施：</w:t>
            </w:r>
          </w:p>
          <w:p>
            <w:pPr>
              <w:spacing w:line="400" w:lineRule="exact"/>
              <w:ind w:firstLine="316" w:firstLineChars="150"/>
              <w:jc w:val="left"/>
              <w:rPr>
                <w:rFonts w:ascii="宋体" w:hAnsi="宋体"/>
                <w:b/>
                <w:sz w:val="21"/>
                <w:szCs w:val="21"/>
              </w:rPr>
            </w:pPr>
            <w:r>
              <w:rPr>
                <w:rFonts w:hint="eastAsia" w:ascii="宋体" w:hAnsi="宋体"/>
                <w:b/>
                <w:sz w:val="21"/>
                <w:szCs w:val="21"/>
              </w:rPr>
              <w:t>安全帽、劳保服、灭火器、消火栓等。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宋体" w:hAnsi="宋体"/>
                <w:b/>
                <w:sz w:val="21"/>
                <w:szCs w:val="21"/>
              </w:rPr>
            </w:pPr>
            <w:r>
              <w:rPr>
                <w:rFonts w:hint="eastAsia" w:ascii="宋体" w:hAnsi="宋体"/>
                <w:b/>
                <w:sz w:val="21"/>
                <w:szCs w:val="21"/>
              </w:rPr>
              <w:t>最高管理者组织制定了方针：“以人为本，开拓创新，持续改进质量；防尘降噪，遵守法规，提高环境绩效；安全第一，预防为主，杜绝重大事故；”，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内部沟通的情况：内部沟通方式：在公司内部主要采用电话、会议、面谈等形式就与产品质量、服务有关问题及与质量管理体系有关问题进行沟通，未发生由于沟通不到位而影响工作的情况。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b/>
                <w:sz w:val="21"/>
                <w:szCs w:val="21"/>
              </w:rPr>
            </w:pPr>
            <w:r>
              <w:rPr>
                <w:rFonts w:hint="eastAsia" w:ascii="宋体" w:hAnsi="宋体"/>
                <w:b/>
                <w:sz w:val="21"/>
                <w:szCs w:val="21"/>
              </w:rPr>
              <w:t xml:space="preserve">                内部沟通的效果：良好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组织对外联络，关注顾客的感受情况（QMS）：采取顾客满意度调查方式了解顾客感受。</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外部信息的接收、成文并答复的情况（E、S填写）：对会议通知和规定等登记处理</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重要环境因素信息对外交流情况（EMS填写）：主要通过网络、交流及公开信、合同等方式进行，并达成一致性意见实施有效控制</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OHSMS事务代表协商和交流的情况（OHSMS填写）：与安全健康管理有关的法律法规，包括《劳动合同法》、《工伤保险条例》、《职业病防治法》等关于员工权益、保险等内容</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80" w:lineRule="exact"/>
              <w:ind w:right="355" w:rightChars="148" w:firstLine="310" w:firstLineChars="147"/>
              <w:rPr>
                <w:b/>
                <w:sz w:val="21"/>
                <w:szCs w:val="21"/>
              </w:rPr>
            </w:pPr>
            <w:r>
              <w:rPr>
                <w:rFonts w:hint="eastAsia"/>
                <w:b/>
                <w:sz w:val="21"/>
                <w:szCs w:val="21"/>
              </w:rPr>
              <w:t>识别确认的特殊过程为：接地极焊接、电缆头的制作；符合要求。</w:t>
            </w:r>
          </w:p>
          <w:p>
            <w:pPr>
              <w:spacing w:line="280" w:lineRule="exact"/>
              <w:ind w:right="355" w:rightChars="148" w:firstLine="422" w:firstLineChars="200"/>
              <w:rPr>
                <w:b/>
                <w:sz w:val="21"/>
                <w:szCs w:val="21"/>
              </w:rPr>
            </w:pPr>
            <w:r>
              <w:rPr>
                <w:rFonts w:hint="eastAsia"/>
                <w:b/>
                <w:sz w:val="21"/>
                <w:szCs w:val="21"/>
              </w:rPr>
              <w:t>查到《特殊过程鉴定记录》,显示了特殊过程操作人员、原材料、设备、工序控制及过程评价的确认要求，主管部门负责人。符合要求。</w:t>
            </w:r>
          </w:p>
          <w:p>
            <w:pPr>
              <w:spacing w:line="240" w:lineRule="exact"/>
              <w:ind w:left="206" w:leftChars="42" w:hanging="105" w:hangingChars="50"/>
              <w:rPr>
                <w:rFonts w:ascii="宋体" w:hAnsi="宋体"/>
                <w:b/>
                <w:sz w:val="21"/>
                <w:szCs w:val="21"/>
              </w:rPr>
            </w:pPr>
            <w:r>
              <w:rPr>
                <w:rFonts w:hint="eastAsia" w:ascii="宋体" w:hAnsi="宋体"/>
                <w:b/>
                <w:sz w:val="21"/>
                <w:szCs w:val="21"/>
              </w:rPr>
              <w:t>特殊过程进行确认，关键过程及特殊过程控制有效。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ind w:firstLine="310" w:firstLineChars="147"/>
              <w:rPr>
                <w:rFonts w:ascii="宋体" w:hAnsi="宋体"/>
                <w:b/>
                <w:sz w:val="21"/>
                <w:szCs w:val="21"/>
              </w:rPr>
            </w:pPr>
            <w:r>
              <w:rPr>
                <w:rFonts w:hint="eastAsia" w:ascii="宋体" w:hAnsi="宋体"/>
                <w:b/>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：提供3C产品报告见附件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r>
              <w:rPr>
                <w:rFonts w:hint="eastAsia" w:ascii="宋体" w:hAnsi="宋体"/>
                <w:b/>
                <w:sz w:val="21"/>
                <w:szCs w:val="21"/>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建筑工程有监理通知，已经按照要求在规定时间内整改，符合要求。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重要环境因素为噪声的排放、粉尘排放、固废/危废的排物、火灾、爆炸、污水的排放、能源/资源消耗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等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spacing w:line="240" w:lineRule="exact"/>
              <w:rPr>
                <w:rFonts w:ascii="宋体" w:hAnsi="宋体"/>
                <w:b/>
                <w:sz w:val="21"/>
                <w:szCs w:val="21"/>
              </w:rPr>
            </w:pPr>
          </w:p>
          <w:p>
            <w:pPr>
              <w:tabs>
                <w:tab w:val="left" w:pos="2552"/>
              </w:tabs>
              <w:spacing w:line="360" w:lineRule="exact"/>
              <w:ind w:firstLine="422" w:firstLineChars="200"/>
              <w:rPr>
                <w:rFonts w:ascii="宋体" w:hAnsi="宋体"/>
                <w:b/>
                <w:sz w:val="21"/>
                <w:szCs w:val="21"/>
              </w:rPr>
            </w:pPr>
            <w:r>
              <w:rPr>
                <w:rFonts w:hint="eastAsia" w:ascii="宋体" w:hAnsi="宋体"/>
                <w:b/>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p>
            <w:pPr>
              <w:spacing w:line="240" w:lineRule="exact"/>
              <w:ind w:firstLine="422" w:firstLineChars="200"/>
              <w:rPr>
                <w:rFonts w:ascii="宋体" w:hAnsi="宋体"/>
                <w:b/>
                <w:sz w:val="21"/>
                <w:szCs w:val="21"/>
              </w:rPr>
            </w:pPr>
            <w:r>
              <w:rPr>
                <w:rFonts w:hint="eastAsia" w:ascii="宋体" w:hAnsi="宋体"/>
                <w:b/>
                <w:sz w:val="21"/>
                <w:szCs w:val="21"/>
              </w:rPr>
              <w:t>组织识别了紧急情况，应急准备和响应为潜在火灾，识别合理、有效。编制有应急预案，并组织了演练，并对应急预案进行了评价。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hint="eastAsia" w:ascii="宋体" w:hAnsi="宋体"/>
                <w:b/>
                <w:sz w:val="21"/>
                <w:szCs w:val="21"/>
              </w:rPr>
              <w:t>无特种设备，需要时租赁。对已租赁的设备管理有效。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p>
          <w:p>
            <w:pPr>
              <w:spacing w:line="240" w:lineRule="exact"/>
              <w:ind w:firstLine="105" w:firstLineChars="50"/>
              <w:rPr>
                <w:rFonts w:ascii="宋体" w:hAnsi="宋体"/>
                <w:b/>
                <w:sz w:val="21"/>
                <w:szCs w:val="21"/>
              </w:rPr>
            </w:pPr>
            <w:r>
              <w:rPr>
                <w:rFonts w:hint="eastAsia" w:ascii="宋体" w:hAnsi="宋体"/>
                <w:b/>
                <w:sz w:val="21"/>
                <w:szCs w:val="21"/>
              </w:rPr>
              <w:t xml:space="preserve">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1-3月目标的测量，总体已达到或超过了规定的目标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hanging="105" w:hangingChars="50"/>
              <w:rPr>
                <w:rFonts w:ascii="宋体" w:hAnsi="宋体"/>
                <w:b/>
                <w:sz w:val="21"/>
                <w:szCs w:val="21"/>
              </w:rPr>
            </w:pPr>
          </w:p>
          <w:p>
            <w:pPr>
              <w:spacing w:line="240" w:lineRule="exact"/>
              <w:ind w:left="105" w:firstLine="211" w:firstLineChars="100"/>
              <w:rPr>
                <w:rFonts w:ascii="宋体" w:hAnsi="宋体"/>
                <w:b/>
                <w:sz w:val="21"/>
                <w:szCs w:val="21"/>
              </w:rPr>
            </w:pPr>
            <w:r>
              <w:rPr>
                <w:rFonts w:hint="eastAsia" w:ascii="宋体" w:hAnsi="宋体"/>
                <w:b/>
                <w:sz w:val="21"/>
                <w:szCs w:val="21"/>
              </w:rPr>
              <w:t>公司建立了顾客满意度监视和测量控制程序，对顾客投诉处理及顾客满意度评价做了明确的规</w:t>
            </w:r>
          </w:p>
          <w:p>
            <w:pPr>
              <w:spacing w:line="240" w:lineRule="exact"/>
              <w:rPr>
                <w:rFonts w:ascii="宋体" w:hAnsi="宋体"/>
                <w:b/>
                <w:sz w:val="21"/>
                <w:szCs w:val="21"/>
              </w:rPr>
            </w:pPr>
            <w:r>
              <w:rPr>
                <w:rFonts w:hint="eastAsia" w:ascii="宋体" w:hAnsi="宋体"/>
                <w:b/>
                <w:sz w:val="21"/>
                <w:szCs w:val="21"/>
              </w:rPr>
              <w:t>定，并按规定对顾客反馈及时处理。近年来未发生重大顾客投诉和产品质量事故。顾客满意度调查按规定实施，满意度评价96分，总体实现了顾客满意度的质量目标要求。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建立有《内部审核控制程序》，规定了内审频次一年一次，内审时间：2019年11月12-13日，拟定了审核实施表，明确了内审范围，内审人员经培训合格上岗，能力满足要求，未出现审核本部门情况.内审不符合项1项，涉及工程部“施工设备台账清单不齐全，且无消防设施台账”，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管理评审频次为一年一次、本次管理评审于2019年11月26日由总经理主持完成、提供主要输入材料有各部门总结，输入信息基本充分和满足要求。输出见“管理评审报告”,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对污水、废气、噪声、废渣等进行自查，结果满足相关要求。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p>
            <w:pPr>
              <w:spacing w:line="240" w:lineRule="exact"/>
              <w:ind w:firstLine="422" w:firstLineChars="200"/>
              <w:rPr>
                <w:rFonts w:ascii="宋体" w:hAnsi="宋体"/>
                <w:b/>
                <w:sz w:val="21"/>
                <w:szCs w:val="21"/>
              </w:rPr>
            </w:pPr>
            <w:r>
              <w:rPr>
                <w:rFonts w:hint="eastAsia" w:ascii="宋体" w:hAnsi="宋体"/>
                <w:b/>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进行定期自查，结果满足相关要求。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rPr>
              <w:t>暂时无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公司明确通过对内、外部审核结果、管理评审输出、监理通知、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pStyle w:val="13"/>
              <w:tabs>
                <w:tab w:val="left" w:pos="2552"/>
              </w:tabs>
              <w:spacing w:line="360" w:lineRule="exact"/>
              <w:ind w:firstLine="0" w:firstLineChars="0"/>
              <w:rPr>
                <w:rFonts w:ascii="宋体" w:hAnsi="宋体" w:cs="宋体"/>
                <w:b/>
                <w:bCs/>
                <w:szCs w:val="21"/>
              </w:rPr>
            </w:pPr>
            <w:r>
              <w:rPr>
                <w:rFonts w:hint="eastAsia" w:ascii="微软雅黑" w:hAnsi="微软雅黑" w:eastAsia="微软雅黑"/>
                <w:b/>
              </w:rPr>
              <w:t>对上次审核发现不符合</w:t>
            </w:r>
            <w:r>
              <w:rPr>
                <w:rFonts w:hint="eastAsia" w:ascii="宋体" w:hAnsi="宋体" w:cs="宋体"/>
                <w:b/>
                <w:bCs/>
                <w:szCs w:val="21"/>
              </w:rPr>
              <w:t xml:space="preserve"> Q7.1.3</w:t>
            </w:r>
          </w:p>
          <w:p>
            <w:pPr>
              <w:spacing w:line="240" w:lineRule="exact"/>
              <w:rPr>
                <w:rFonts w:ascii="宋体" w:hAnsi="宋体"/>
                <w:b/>
                <w:sz w:val="21"/>
                <w:szCs w:val="21"/>
              </w:rPr>
            </w:pPr>
            <w:r>
              <w:rPr>
                <w:rFonts w:hint="eastAsia" w:ascii="宋体" w:hAnsi="宋体" w:cs="宋体"/>
                <w:b/>
                <w:bCs/>
                <w:sz w:val="21"/>
                <w:szCs w:val="21"/>
              </w:rPr>
              <w:t>S4.4.6、E8.1</w:t>
            </w:r>
            <w:r>
              <w:rPr>
                <w:rFonts w:hint="eastAsia" w:ascii="微软雅黑" w:hAnsi="微软雅黑" w:eastAsia="微软雅黑"/>
                <w:b/>
              </w:rPr>
              <w:t>核验。</w:t>
            </w:r>
            <w:r>
              <w:rPr>
                <w:rFonts w:hint="eastAsia" w:ascii="宋体" w:hAnsi="宋体"/>
                <w:b/>
                <w:sz w:val="21"/>
                <w:szCs w:val="21"/>
              </w:rPr>
              <w:t>纠正措施实施有效。</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pPr w:leftFromText="180" w:rightFromText="180" w:vertAnchor="text" w:tblpY="1"/>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本次审核共开具不符合项报告1项；其中</w:t>
      </w:r>
      <w:r>
        <w:rPr>
          <w:rFonts w:ascii="宋体" w:hAnsi="宋体"/>
          <w:b/>
          <w:szCs w:val="21"/>
        </w:rPr>
        <w:pict>
          <v:line id="直接连接符 1" o:spid="_x0000_s1032"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ascii="宋体" w:hAnsi="宋体"/>
          <w:b/>
          <w:szCs w:val="21"/>
        </w:rPr>
        <w:t>严重不符合0项，一般不符合1项，观察项1项分布在部门条款，见不符合项分布表。（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5"/>
        <w:tblpPr w:leftFromText="180" w:rightFromText="180" w:vertAnchor="text" w:tblpY="1"/>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rPr>
                <w:rFonts w:ascii="宋体" w:hAnsi="宋体"/>
                <w:b/>
                <w:szCs w:val="21"/>
              </w:rPr>
            </w:pP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lang w:eastAsia="zh-CN"/>
              </w:rPr>
              <w:t>□</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color w:val="FF0000"/>
          <w:sz w:val="21"/>
          <w:szCs w:val="21"/>
        </w:rPr>
      </w:pPr>
      <w:r>
        <w:rPr>
          <w:rFonts w:hint="eastAsia"/>
          <w:b/>
          <w:sz w:val="26"/>
          <w:szCs w:val="26"/>
        </w:rPr>
        <w:t>十一、</w:t>
      </w:r>
      <w:r>
        <w:rPr>
          <w:rFonts w:hint="eastAsia" w:ascii="仿宋" w:hAnsi="仿宋" w:eastAsia="仿宋"/>
          <w:b/>
          <w:kern w:val="24"/>
          <w:sz w:val="28"/>
          <w:szCs w:val="28"/>
        </w:rPr>
        <w:t>任何影响审核方案的重要事项</w:t>
      </w:r>
      <w:r>
        <w:rPr>
          <w:rFonts w:hint="eastAsia"/>
          <w:b/>
          <w:sz w:val="26"/>
          <w:szCs w:val="26"/>
        </w:rPr>
        <w:t>：</w:t>
      </w:r>
      <w:r>
        <w:rPr>
          <w:rFonts w:hint="eastAsia"/>
          <w:b/>
          <w:sz w:val="21"/>
          <w:szCs w:val="21"/>
        </w:rPr>
        <w:t>本次审核为远程审核，现场补充审核时核验相关资料的真实性、完整性不符合纠正措施实施的有效性。</w:t>
      </w:r>
    </w:p>
    <w:p>
      <w:pPr>
        <w:tabs>
          <w:tab w:val="left" w:pos="645"/>
        </w:tabs>
        <w:spacing w:afterLines="50" w:line="360" w:lineRule="exact"/>
        <w:rPr>
          <w:b/>
          <w:sz w:val="16"/>
          <w:szCs w:val="16"/>
        </w:rPr>
      </w:pPr>
      <w:r>
        <w:rPr>
          <w:rFonts w:hint="eastAsia"/>
          <w:b/>
          <w:sz w:val="26"/>
          <w:szCs w:val="26"/>
        </w:rPr>
        <w:drawing>
          <wp:anchor distT="0" distB="0" distL="114300" distR="114300" simplePos="0" relativeHeight="251664384" behindDoc="0" locked="0" layoutInCell="1" allowOverlap="1">
            <wp:simplePos x="0" y="0"/>
            <wp:positionH relativeFrom="column">
              <wp:posOffset>2025650</wp:posOffset>
            </wp:positionH>
            <wp:positionV relativeFrom="paragraph">
              <wp:posOffset>193675</wp:posOffset>
            </wp:positionV>
            <wp:extent cx="759460" cy="454660"/>
            <wp:effectExtent l="0" t="0" r="2540" b="2540"/>
            <wp:wrapNone/>
            <wp:docPr id="4"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文档 2019-04-09 16.49.33"/>
                    <pic:cNvPicPr>
                      <a:picLocks noChangeAspect="1" noChangeArrowheads="1"/>
                    </pic:cNvPicPr>
                  </pic:nvPicPr>
                  <pic:blipFill>
                    <a:blip r:embed="rId6" cstate="print"/>
                    <a:srcRect/>
                    <a:stretch>
                      <a:fillRect/>
                    </a:stretch>
                  </pic:blipFill>
                  <pic:spPr>
                    <a:xfrm>
                      <a:off x="0" y="0"/>
                      <a:ext cx="759460" cy="45466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日期：2020.04.</w:t>
      </w:r>
      <w:r>
        <w:rPr>
          <w:rFonts w:hint="eastAsia"/>
          <w:b/>
          <w:sz w:val="21"/>
          <w:lang w:val="en-US" w:eastAsia="zh-CN"/>
        </w:rPr>
        <w:t>29</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u w:val="single"/>
        </w:rPr>
      </w:pPr>
      <w:r>
        <w:rPr>
          <w:rFonts w:hint="eastAsia"/>
          <w:b/>
          <w:sz w:val="21"/>
          <w:szCs w:val="21"/>
        </w:rPr>
        <w:drawing>
          <wp:anchor distT="0" distB="0" distL="114300" distR="114300" simplePos="0" relativeHeight="251666432" behindDoc="0" locked="0" layoutInCell="1" allowOverlap="1">
            <wp:simplePos x="0" y="0"/>
            <wp:positionH relativeFrom="column">
              <wp:posOffset>1437640</wp:posOffset>
            </wp:positionH>
            <wp:positionV relativeFrom="paragraph">
              <wp:posOffset>54610</wp:posOffset>
            </wp:positionV>
            <wp:extent cx="654685" cy="316865"/>
            <wp:effectExtent l="0" t="0" r="12065" b="6985"/>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文档 2019-04-09 16.49.33"/>
                    <pic:cNvPicPr>
                      <a:picLocks noChangeAspect="1" noChangeArrowheads="1"/>
                    </pic:cNvPicPr>
                  </pic:nvPicPr>
                  <pic:blipFill>
                    <a:blip r:embed="rId6" cstate="print"/>
                    <a:srcRect/>
                    <a:stretch>
                      <a:fillRect/>
                    </a:stretch>
                  </pic:blipFill>
                  <pic:spPr>
                    <a:xfrm>
                      <a:off x="0" y="0"/>
                      <a:ext cx="654685" cy="316865"/>
                    </a:xfrm>
                    <a:prstGeom prst="rect">
                      <a:avLst/>
                    </a:prstGeom>
                    <a:noFill/>
                    <a:ln w="9525">
                      <a:noFill/>
                      <a:miter lim="800000"/>
                      <a:headEnd/>
                      <a:tailEnd/>
                    </a:ln>
                  </pic:spPr>
                </pic:pic>
              </a:graphicData>
            </a:graphic>
          </wp:anchor>
        </w:drawing>
      </w:r>
      <w:r>
        <w:rPr>
          <w:rFonts w:hint="eastAsia"/>
          <w:b/>
          <w:sz w:val="21"/>
          <w:szCs w:val="21"/>
        </w:rPr>
        <w:t>组长签字：</w:t>
      </w:r>
    </w:p>
    <w:p>
      <w:pPr>
        <w:tabs>
          <w:tab w:val="left" w:pos="8385"/>
        </w:tabs>
        <w:ind w:left="783" w:hanging="783" w:hangingChars="300"/>
        <w:rPr>
          <w:b/>
          <w:sz w:val="26"/>
          <w:szCs w:val="26"/>
        </w:rPr>
      </w:pPr>
      <w:r>
        <w:rPr>
          <w:rFonts w:hint="eastAsia"/>
          <w:b/>
          <w:sz w:val="26"/>
          <w:szCs w:val="26"/>
        </w:rPr>
        <w:t>十四、</w:t>
      </w:r>
      <w:r>
        <w:rPr>
          <w:rFonts w:hint="eastAsia"/>
          <w:b/>
          <w:bCs/>
          <w:sz w:val="26"/>
          <w:szCs w:val="26"/>
        </w:rPr>
        <w:t>与末次会议结论不同处的说明和其</w:t>
      </w:r>
      <w:bookmarkStart w:id="27" w:name="_GoBack"/>
      <w:bookmarkEnd w:id="27"/>
      <w:r>
        <w:rPr>
          <w:rFonts w:hint="eastAsia"/>
          <w:b/>
          <w:bCs/>
          <w:sz w:val="26"/>
          <w:szCs w:val="26"/>
        </w:rPr>
        <w:t>他说明：（技委委员会</w:t>
      </w:r>
      <w:r>
        <w:rPr>
          <w:rFonts w:hint="eastAsia"/>
          <w:b/>
          <w:sz w:val="26"/>
          <w:szCs w:val="26"/>
        </w:rPr>
        <w:t>填写</w:t>
      </w:r>
      <w:r>
        <w:rPr>
          <w:b/>
          <w:sz w:val="26"/>
          <w:szCs w:val="26"/>
        </w:rPr>
        <w:t>)</w:t>
      </w:r>
      <w:r>
        <w:rPr>
          <w:b/>
          <w:sz w:val="26"/>
          <w:szCs w:val="26"/>
        </w:rPr>
        <w:tab/>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方正仿宋简体" w:eastAsia="方正仿宋简体"/>
          <w:b/>
          <w:szCs w:val="22"/>
        </w:rPr>
        <w:t>审核基于对可获得信息的抽样过程的免责声明：</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535 0 5023 480 -502 5760 -502 10080 0 15360 502 17280 7535 20640 11051 20640 13563 20640 14567 20640 20093 15360 21098 6240 16074 1440 13060 0 7535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4FC3"/>
    <w:rsid w:val="00027155"/>
    <w:rsid w:val="00070E76"/>
    <w:rsid w:val="00087C13"/>
    <w:rsid w:val="00125148"/>
    <w:rsid w:val="001251B5"/>
    <w:rsid w:val="00163E59"/>
    <w:rsid w:val="002074DF"/>
    <w:rsid w:val="00274FC3"/>
    <w:rsid w:val="002938B5"/>
    <w:rsid w:val="002B174C"/>
    <w:rsid w:val="005954EC"/>
    <w:rsid w:val="005D16F3"/>
    <w:rsid w:val="00656E7C"/>
    <w:rsid w:val="00666B7D"/>
    <w:rsid w:val="00745F0F"/>
    <w:rsid w:val="008048B8"/>
    <w:rsid w:val="00807AAE"/>
    <w:rsid w:val="008371D5"/>
    <w:rsid w:val="00872D03"/>
    <w:rsid w:val="008A5048"/>
    <w:rsid w:val="008C6EDA"/>
    <w:rsid w:val="0095261F"/>
    <w:rsid w:val="009868C3"/>
    <w:rsid w:val="009D0278"/>
    <w:rsid w:val="00B71F15"/>
    <w:rsid w:val="00BF5B4A"/>
    <w:rsid w:val="00C57284"/>
    <w:rsid w:val="00CE171B"/>
    <w:rsid w:val="00D04F03"/>
    <w:rsid w:val="00D23575"/>
    <w:rsid w:val="00DD613E"/>
    <w:rsid w:val="00DF7C1C"/>
    <w:rsid w:val="00E61303"/>
    <w:rsid w:val="00E960FC"/>
    <w:rsid w:val="00F06626"/>
    <w:rsid w:val="00F51AA1"/>
    <w:rsid w:val="00F83D0C"/>
    <w:rsid w:val="038B250E"/>
    <w:rsid w:val="178A7D06"/>
    <w:rsid w:val="1E22720B"/>
    <w:rsid w:val="3EFB55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0"/>
        <o:r id="V:Rule2"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uiPriority w:val="99"/>
    <w:rPr>
      <w:color w:val="0000FF" w:themeColor="hyperlink"/>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1575</Words>
  <Characters>8978</Characters>
  <Lines>74</Lines>
  <Paragraphs>21</Paragraphs>
  <TotalTime>3</TotalTime>
  <ScaleCrop>false</ScaleCrop>
  <LinksUpToDate>false</LinksUpToDate>
  <CharactersWithSpaces>10532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2020-08-09T06:37:00Z</dcterms:created>
  <dc:creator>微软用户</dc:creator>
  <cp:lastModifiedBy>李凤仪</cp:lastModifiedBy>
  <cp:lastPrinted>2019-04-18T08:15:00Z</cp:lastPrinted>
  <dcterms:modified xsi:type="dcterms:W3CDTF">2020-11-25T00:45:02Z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