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sz w:val="24"/>
                <w:szCs w:val="24"/>
              </w:rPr>
            </w:pPr>
            <w:r>
              <w:rPr>
                <w:rFonts w:hint="eastAsia"/>
                <w:sz w:val="24"/>
                <w:szCs w:val="24"/>
              </w:rPr>
              <w:t xml:space="preserve">受审核部门： </w:t>
            </w:r>
            <w:r>
              <w:rPr>
                <w:sz w:val="24"/>
                <w:szCs w:val="24"/>
              </w:rPr>
              <w:t xml:space="preserve"> 综合部          </w:t>
            </w:r>
            <w:r>
              <w:rPr>
                <w:rFonts w:hint="eastAsia"/>
                <w:sz w:val="24"/>
                <w:szCs w:val="24"/>
              </w:rPr>
              <w:t xml:space="preserve">主管领导： </w:t>
            </w:r>
            <w:r>
              <w:rPr>
                <w:rFonts w:hint="eastAsia"/>
                <w:sz w:val="24"/>
                <w:szCs w:val="24"/>
                <w:lang w:val="en-US" w:eastAsia="zh-CN"/>
              </w:rPr>
              <w:t>张梦婷</w:t>
            </w:r>
            <w:r>
              <w:rPr>
                <w:sz w:val="24"/>
                <w:szCs w:val="24"/>
              </w:rPr>
              <w:t xml:space="preserve">              </w:t>
            </w:r>
            <w:r>
              <w:rPr>
                <w:rFonts w:hint="eastAsia"/>
                <w:sz w:val="24"/>
                <w:szCs w:val="24"/>
              </w:rPr>
              <w:t>陪同人员：</w:t>
            </w:r>
            <w:r>
              <w:rPr>
                <w:rFonts w:hint="eastAsia"/>
                <w:sz w:val="24"/>
                <w:szCs w:val="24"/>
                <w:lang w:val="en-US" w:eastAsia="zh-CN"/>
              </w:rPr>
              <w:t>张弛</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 xml:space="preserve">审核员： </w:t>
            </w:r>
            <w:r>
              <w:rPr>
                <w:rFonts w:hint="eastAsia"/>
                <w:sz w:val="24"/>
                <w:szCs w:val="24"/>
                <w:lang w:val="en-US" w:eastAsia="zh-CN"/>
              </w:rPr>
              <w:t>李凤仪</w:t>
            </w:r>
            <w:r>
              <w:rPr>
                <w:sz w:val="24"/>
                <w:szCs w:val="24"/>
              </w:rPr>
              <w:t xml:space="preserve">                  </w:t>
            </w:r>
            <w:r>
              <w:rPr>
                <w:rFonts w:hint="eastAsia"/>
                <w:sz w:val="24"/>
                <w:szCs w:val="24"/>
                <w:lang w:val="en-US" w:eastAsia="zh-CN"/>
              </w:rPr>
              <w:t>现场</w:t>
            </w:r>
            <w:r>
              <w:rPr>
                <w:rFonts w:hint="eastAsia"/>
                <w:sz w:val="24"/>
                <w:szCs w:val="24"/>
              </w:rPr>
              <w:t>审核时间：</w:t>
            </w:r>
            <w:r>
              <w:rPr>
                <w:rFonts w:hint="eastAsia"/>
                <w:sz w:val="24"/>
                <w:szCs w:val="24"/>
                <w:lang w:val="en-US" w:eastAsia="zh-CN"/>
              </w:rPr>
              <w:t>2020年4月25日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snapToGrid w:val="0"/>
              <w:spacing w:line="240" w:lineRule="exact"/>
              <w:rPr>
                <w:rFonts w:ascii="宋体" w:hAnsi="宋体" w:cs="宋体"/>
                <w:szCs w:val="21"/>
              </w:rPr>
            </w:pPr>
            <w:r>
              <w:rPr>
                <w:rFonts w:hint="eastAsia"/>
                <w:sz w:val="24"/>
                <w:szCs w:val="24"/>
              </w:rPr>
              <w:t>审核条款：</w:t>
            </w:r>
            <w:r>
              <w:rPr>
                <w:rFonts w:ascii="宋体" w:hAnsi="宋体" w:cs="宋体"/>
                <w:szCs w:val="21"/>
              </w:rPr>
              <w:t>Q</w:t>
            </w:r>
            <w:r>
              <w:rPr>
                <w:rFonts w:hint="eastAsia" w:ascii="宋体" w:hAnsi="宋体" w:cs="宋体"/>
                <w:szCs w:val="21"/>
              </w:rPr>
              <w:t>:</w:t>
            </w:r>
            <w:r>
              <w:rPr>
                <w:rFonts w:ascii="宋体" w:hAnsi="宋体" w:cs="宋体"/>
                <w:szCs w:val="21"/>
              </w:rPr>
              <w:t>5.3</w:t>
            </w:r>
            <w:r>
              <w:rPr>
                <w:rFonts w:hint="eastAsia" w:ascii="宋体" w:hAnsi="宋体" w:cs="宋体"/>
                <w:szCs w:val="21"/>
              </w:rPr>
              <w:t>/</w:t>
            </w:r>
            <w:r>
              <w:rPr>
                <w:rFonts w:ascii="宋体" w:hAnsi="宋体" w:cs="宋体"/>
                <w:szCs w:val="21"/>
              </w:rPr>
              <w:t>6.2</w:t>
            </w:r>
            <w:r>
              <w:rPr>
                <w:rFonts w:hint="eastAsia" w:ascii="宋体" w:hAnsi="宋体" w:cs="宋体"/>
                <w:szCs w:val="21"/>
              </w:rPr>
              <w:t>/</w:t>
            </w:r>
            <w:r>
              <w:rPr>
                <w:rFonts w:ascii="宋体" w:hAnsi="宋体" w:cs="宋体"/>
                <w:szCs w:val="21"/>
              </w:rPr>
              <w:t>7.1.2</w:t>
            </w:r>
            <w:r>
              <w:rPr>
                <w:rFonts w:hint="eastAsia" w:ascii="宋体" w:hAnsi="宋体" w:cs="宋体"/>
                <w:szCs w:val="21"/>
              </w:rPr>
              <w:t>/</w:t>
            </w:r>
            <w:r>
              <w:rPr>
                <w:rFonts w:ascii="宋体" w:hAnsi="宋体" w:cs="宋体"/>
                <w:szCs w:val="21"/>
              </w:rPr>
              <w:t>7.1.6</w:t>
            </w:r>
            <w:r>
              <w:rPr>
                <w:rFonts w:hint="eastAsia" w:ascii="宋体" w:hAnsi="宋体" w:cs="宋体"/>
                <w:szCs w:val="21"/>
              </w:rPr>
              <w:t>/</w:t>
            </w:r>
            <w:r>
              <w:rPr>
                <w:rFonts w:ascii="宋体" w:hAnsi="宋体" w:cs="宋体"/>
                <w:szCs w:val="21"/>
              </w:rPr>
              <w:t>7.2</w:t>
            </w:r>
            <w:r>
              <w:rPr>
                <w:rFonts w:hint="eastAsia" w:ascii="宋体" w:hAnsi="宋体" w:cs="宋体"/>
                <w:szCs w:val="21"/>
              </w:rPr>
              <w:t>/</w:t>
            </w:r>
            <w:r>
              <w:rPr>
                <w:rFonts w:ascii="宋体" w:hAnsi="宋体" w:cs="宋体"/>
                <w:szCs w:val="21"/>
              </w:rPr>
              <w:t>7.3</w:t>
            </w:r>
            <w:r>
              <w:rPr>
                <w:rFonts w:hint="eastAsia" w:ascii="宋体" w:hAnsi="宋体" w:cs="宋体"/>
                <w:szCs w:val="21"/>
              </w:rPr>
              <w:t>/</w:t>
            </w:r>
            <w:r>
              <w:rPr>
                <w:rFonts w:ascii="宋体" w:hAnsi="宋体" w:cs="宋体"/>
                <w:szCs w:val="21"/>
              </w:rPr>
              <w:t>7.4</w:t>
            </w:r>
            <w:r>
              <w:rPr>
                <w:rFonts w:hint="eastAsia" w:ascii="宋体" w:hAnsi="宋体" w:cs="宋体"/>
                <w:szCs w:val="21"/>
              </w:rPr>
              <w:t>/</w:t>
            </w:r>
            <w:r>
              <w:rPr>
                <w:rFonts w:ascii="宋体" w:hAnsi="宋体" w:cs="宋体"/>
                <w:szCs w:val="21"/>
              </w:rPr>
              <w:t>7.5</w:t>
            </w:r>
            <w:r>
              <w:rPr>
                <w:rFonts w:hint="eastAsia" w:ascii="宋体" w:hAnsi="宋体" w:cs="宋体"/>
                <w:szCs w:val="21"/>
              </w:rPr>
              <w:t>/</w:t>
            </w:r>
            <w:r>
              <w:rPr>
                <w:rFonts w:ascii="宋体" w:hAnsi="宋体" w:cs="宋体"/>
                <w:szCs w:val="21"/>
              </w:rPr>
              <w:t>9.1.3</w:t>
            </w:r>
            <w:r>
              <w:rPr>
                <w:rFonts w:hint="eastAsia" w:ascii="宋体" w:hAnsi="宋体" w:cs="宋体"/>
                <w:szCs w:val="21"/>
              </w:rPr>
              <w:t>/</w:t>
            </w:r>
            <w:r>
              <w:rPr>
                <w:rFonts w:ascii="宋体" w:hAnsi="宋体" w:cs="宋体"/>
                <w:szCs w:val="21"/>
              </w:rPr>
              <w:t>9.2</w:t>
            </w:r>
            <w:r>
              <w:rPr>
                <w:rFonts w:hint="eastAsia" w:ascii="宋体" w:hAnsi="宋体" w:cs="宋体"/>
                <w:szCs w:val="21"/>
              </w:rPr>
              <w:t>/10.2/8.2/8.4/9.1.2</w:t>
            </w:r>
          </w:p>
          <w:p>
            <w:pPr>
              <w:snapToGrid w:val="0"/>
              <w:spacing w:line="240" w:lineRule="exact"/>
              <w:rPr>
                <w:rFonts w:ascii="宋体" w:hAnsi="宋体" w:cs="宋体"/>
                <w:szCs w:val="21"/>
              </w:rPr>
            </w:pPr>
            <w:r>
              <w:rPr>
                <w:rFonts w:ascii="宋体" w:hAnsi="宋体" w:cs="宋体"/>
                <w:szCs w:val="21"/>
              </w:rPr>
              <w:t>EO</w:t>
            </w:r>
            <w:r>
              <w:rPr>
                <w:rFonts w:hint="eastAsia" w:ascii="宋体" w:hAnsi="宋体" w:cs="宋体"/>
                <w:szCs w:val="21"/>
              </w:rPr>
              <w:t>:</w:t>
            </w:r>
            <w:r>
              <w:rPr>
                <w:rFonts w:ascii="宋体" w:hAnsi="宋体" w:cs="宋体"/>
                <w:szCs w:val="21"/>
              </w:rPr>
              <w:t>5.3</w:t>
            </w:r>
            <w:r>
              <w:rPr>
                <w:rFonts w:hint="eastAsia" w:ascii="宋体" w:hAnsi="宋体" w:cs="宋体"/>
                <w:szCs w:val="21"/>
              </w:rPr>
              <w:t>/</w:t>
            </w:r>
            <w:r>
              <w:rPr>
                <w:rFonts w:ascii="宋体" w:hAnsi="宋体" w:cs="宋体"/>
                <w:szCs w:val="21"/>
              </w:rPr>
              <w:t>6.1.2</w:t>
            </w:r>
            <w:r>
              <w:rPr>
                <w:rFonts w:hint="eastAsia" w:ascii="宋体" w:hAnsi="宋体" w:cs="宋体"/>
                <w:szCs w:val="21"/>
              </w:rPr>
              <w:t>/</w:t>
            </w:r>
            <w:r>
              <w:rPr>
                <w:rFonts w:ascii="宋体" w:hAnsi="宋体" w:cs="宋体"/>
                <w:szCs w:val="21"/>
              </w:rPr>
              <w:t>6.2</w:t>
            </w:r>
            <w:r>
              <w:rPr>
                <w:rFonts w:hint="eastAsia" w:ascii="宋体" w:hAnsi="宋体" w:cs="宋体"/>
                <w:szCs w:val="21"/>
              </w:rPr>
              <w:t>/</w:t>
            </w:r>
            <w:r>
              <w:rPr>
                <w:rFonts w:ascii="宋体" w:hAnsi="宋体" w:cs="宋体"/>
                <w:szCs w:val="21"/>
              </w:rPr>
              <w:t>7.2</w:t>
            </w:r>
            <w:r>
              <w:rPr>
                <w:rFonts w:hint="eastAsia" w:ascii="宋体" w:hAnsi="宋体" w:cs="宋体"/>
                <w:szCs w:val="21"/>
              </w:rPr>
              <w:t>/</w:t>
            </w:r>
            <w:r>
              <w:rPr>
                <w:rFonts w:ascii="宋体" w:hAnsi="宋体" w:cs="宋体"/>
                <w:szCs w:val="21"/>
              </w:rPr>
              <w:t>7.3</w:t>
            </w:r>
            <w:r>
              <w:rPr>
                <w:rFonts w:hint="eastAsia" w:ascii="宋体" w:hAnsi="宋体" w:cs="宋体"/>
                <w:szCs w:val="21"/>
              </w:rPr>
              <w:t>/</w:t>
            </w:r>
            <w:r>
              <w:rPr>
                <w:rFonts w:ascii="宋体" w:hAnsi="宋体" w:cs="宋体"/>
                <w:szCs w:val="21"/>
              </w:rPr>
              <w:t>7.4</w:t>
            </w:r>
            <w:r>
              <w:rPr>
                <w:rFonts w:hint="eastAsia" w:ascii="宋体" w:hAnsi="宋体" w:cs="宋体"/>
                <w:szCs w:val="21"/>
              </w:rPr>
              <w:t>/</w:t>
            </w:r>
            <w:r>
              <w:rPr>
                <w:rFonts w:ascii="宋体" w:hAnsi="宋体" w:cs="宋体"/>
                <w:szCs w:val="21"/>
              </w:rPr>
              <w:t>7.5</w:t>
            </w:r>
            <w:r>
              <w:rPr>
                <w:rFonts w:hint="eastAsia" w:ascii="宋体" w:hAnsi="宋体" w:cs="宋体"/>
                <w:szCs w:val="21"/>
              </w:rPr>
              <w:t>/</w:t>
            </w:r>
            <w:r>
              <w:rPr>
                <w:rFonts w:ascii="宋体" w:hAnsi="宋体" w:cs="宋体"/>
                <w:szCs w:val="21"/>
              </w:rPr>
              <w:t>8.1</w:t>
            </w:r>
            <w:r>
              <w:rPr>
                <w:rFonts w:hint="eastAsia" w:ascii="宋体" w:hAnsi="宋体" w:cs="宋体"/>
                <w:szCs w:val="21"/>
              </w:rPr>
              <w:t>/8.2/</w:t>
            </w:r>
            <w:r>
              <w:rPr>
                <w:rFonts w:ascii="宋体" w:hAnsi="宋体" w:cs="宋体"/>
                <w:szCs w:val="21"/>
              </w:rPr>
              <w:t>9.2</w:t>
            </w:r>
            <w:r>
              <w:rPr>
                <w:rFonts w:hint="eastAsia" w:ascii="宋体" w:hAnsi="宋体" w:cs="宋体"/>
                <w:szCs w:val="21"/>
              </w:rPr>
              <w:t>/10.2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QEO5.3</w:t>
            </w:r>
          </w:p>
          <w:p>
            <w:pPr>
              <w:spacing w:line="280" w:lineRule="exact"/>
              <w:rPr>
                <w:rFonts w:ascii="宋体" w:hAnsi="宋体" w:cs="宋体"/>
                <w:color w:val="000000"/>
                <w:kern w:val="0"/>
                <w:szCs w:val="21"/>
              </w:rPr>
            </w:pPr>
          </w:p>
          <w:p>
            <w:pPr>
              <w:spacing w:line="280" w:lineRule="exact"/>
              <w:rPr>
                <w:b/>
                <w:szCs w:val="21"/>
              </w:rPr>
            </w:pPr>
          </w:p>
        </w:tc>
        <w:tc>
          <w:tcPr>
            <w:tcW w:w="10738" w:type="dxa"/>
            <w:vAlign w:val="center"/>
          </w:tcPr>
          <w:p>
            <w:pPr>
              <w:spacing w:line="280" w:lineRule="exact"/>
              <w:ind w:firstLine="420" w:firstLineChars="200"/>
              <w:rPr>
                <w:szCs w:val="21"/>
              </w:rPr>
            </w:pPr>
            <w:r>
              <w:rPr>
                <w:rFonts w:hint="eastAsia"/>
                <w:szCs w:val="21"/>
              </w:rPr>
              <w:t>该部门主要负责公司质量、环境、职业健康管理体系文件和技术文件、资料、记录及外来文件的归档管理；制定公司人力发展规划，确保公司人力资源；制定公司员工有关培训计划落实；公司人员业绩考评工作；识别出的重要环境因素、重大危险源按照要求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280" w:lineRule="exact"/>
              <w:ind w:firstLine="420" w:firstLineChars="200"/>
              <w:rPr>
                <w:b/>
                <w:szCs w:val="21"/>
              </w:rPr>
            </w:pPr>
            <w:r>
              <w:rPr>
                <w:rFonts w:hint="eastAsia"/>
                <w:szCs w:val="21"/>
              </w:rPr>
              <w:t>与综合部负责人沟通，描述的职责和权限与一体化管理体系的职能分配表基本一致。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目标及其实现的策划总要求</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QEO6.2</w:t>
            </w:r>
          </w:p>
          <w:p>
            <w:pPr>
              <w:spacing w:line="280" w:lineRule="exact"/>
              <w:rPr>
                <w:rFonts w:ascii="宋体" w:hAnsi="宋体" w:cs="宋体"/>
                <w:color w:val="000000"/>
                <w:kern w:val="0"/>
                <w:szCs w:val="21"/>
              </w:rPr>
            </w:pPr>
          </w:p>
          <w:p>
            <w:pPr>
              <w:spacing w:line="280" w:lineRule="exact"/>
              <w:rPr>
                <w:b/>
                <w:szCs w:val="21"/>
              </w:rPr>
            </w:pPr>
          </w:p>
        </w:tc>
        <w:tc>
          <w:tcPr>
            <w:tcW w:w="10738" w:type="dxa"/>
            <w:vAlign w:val="center"/>
          </w:tcPr>
          <w:p>
            <w:pPr>
              <w:spacing w:line="280" w:lineRule="exact"/>
              <w:ind w:firstLine="420" w:firstLineChars="200"/>
              <w:rPr>
                <w:szCs w:val="21"/>
              </w:rPr>
            </w:pPr>
            <w:r>
              <w:rPr>
                <w:rFonts w:hint="eastAsia"/>
                <w:szCs w:val="21"/>
              </w:rPr>
              <w:t>本部门分解管理目标有：</w:t>
            </w:r>
          </w:p>
          <w:p>
            <w:pPr>
              <w:spacing w:line="280" w:lineRule="exact"/>
              <w:ind w:firstLine="420" w:firstLineChars="200"/>
              <w:rPr>
                <w:szCs w:val="21"/>
              </w:rPr>
            </w:pPr>
            <w:r>
              <w:rPr>
                <w:rFonts w:hint="eastAsia"/>
                <w:szCs w:val="21"/>
              </w:rPr>
              <w:t>培训实施率100%</w:t>
            </w:r>
          </w:p>
          <w:p>
            <w:pPr>
              <w:spacing w:line="280" w:lineRule="exact"/>
              <w:ind w:firstLine="420" w:firstLineChars="200"/>
              <w:rPr>
                <w:szCs w:val="21"/>
              </w:rPr>
            </w:pPr>
            <w:r>
              <w:rPr>
                <w:rFonts w:hint="eastAsia"/>
                <w:szCs w:val="21"/>
              </w:rPr>
              <w:t>特种作业人员持证率100%</w:t>
            </w:r>
          </w:p>
          <w:p>
            <w:pPr>
              <w:spacing w:line="280" w:lineRule="exact"/>
              <w:ind w:firstLine="420" w:firstLineChars="200"/>
              <w:rPr>
                <w:szCs w:val="21"/>
              </w:rPr>
            </w:pPr>
            <w:r>
              <w:rPr>
                <w:rFonts w:hint="eastAsia"/>
                <w:szCs w:val="21"/>
              </w:rPr>
              <w:t>废弃物处理率</w:t>
            </w:r>
            <w:r>
              <w:rPr>
                <w:szCs w:val="21"/>
              </w:rPr>
              <w:t>100%</w:t>
            </w:r>
            <w:r>
              <w:rPr>
                <w:rFonts w:hint="eastAsia"/>
                <w:szCs w:val="21"/>
              </w:rPr>
              <w:t>；</w:t>
            </w:r>
          </w:p>
          <w:p>
            <w:pPr>
              <w:spacing w:line="280" w:lineRule="exact"/>
              <w:ind w:firstLine="420" w:firstLineChars="200"/>
              <w:rPr>
                <w:szCs w:val="21"/>
              </w:rPr>
            </w:pPr>
            <w:r>
              <w:rPr>
                <w:rFonts w:hint="eastAsia"/>
                <w:szCs w:val="21"/>
              </w:rPr>
              <w:t>火灾发生次数</w:t>
            </w:r>
            <w:r>
              <w:rPr>
                <w:szCs w:val="21"/>
              </w:rPr>
              <w:t>0</w:t>
            </w:r>
            <w:r>
              <w:rPr>
                <w:rFonts w:hint="eastAsia"/>
                <w:szCs w:val="21"/>
              </w:rPr>
              <w:t>。</w:t>
            </w:r>
          </w:p>
          <w:p>
            <w:pPr>
              <w:spacing w:line="280" w:lineRule="exact"/>
              <w:ind w:firstLine="420" w:firstLineChars="200"/>
              <w:rPr>
                <w:szCs w:val="21"/>
              </w:rPr>
            </w:pPr>
            <w:r>
              <w:rPr>
                <w:rFonts w:hint="eastAsia"/>
                <w:szCs w:val="21"/>
              </w:rPr>
              <w:t>目标均可量化可测量，提供目标统计表。最近一次考核2019年第四季度，综合部管理目标均已完成。考核人：张梦婷。针对以上目标，公司针对火灾、废弃物、意外伤害制定了相应管理方案，内容涉及：方法措施、执行部门、负责人、预算、完成日期等。编制：综合部，审批：张勤 2019.1.8，详见审核生产部该条款记录。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人员</w:t>
            </w:r>
          </w:p>
          <w:p>
            <w:pPr>
              <w:spacing w:line="280" w:lineRule="exact"/>
              <w:rPr>
                <w:b/>
                <w:szCs w:val="21"/>
              </w:rPr>
            </w:pPr>
            <w:bookmarkStart w:id="0" w:name="_GoBack"/>
            <w:bookmarkEnd w:id="0"/>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Q7.1.2</w:t>
            </w:r>
          </w:p>
          <w:p>
            <w:pPr>
              <w:spacing w:line="280" w:lineRule="exact"/>
              <w:rPr>
                <w:b/>
                <w:szCs w:val="21"/>
              </w:rPr>
            </w:pPr>
          </w:p>
        </w:tc>
        <w:tc>
          <w:tcPr>
            <w:tcW w:w="10738" w:type="dxa"/>
            <w:vAlign w:val="center"/>
          </w:tcPr>
          <w:p>
            <w:pPr>
              <w:spacing w:line="280" w:lineRule="exact"/>
              <w:rPr>
                <w:b/>
                <w:szCs w:val="21"/>
              </w:rPr>
            </w:pPr>
            <w:r>
              <w:rPr>
                <w:rFonts w:hint="eastAsia" w:ascii="宋体" w:hAnsi="宋体" w:cs="宋体"/>
                <w:color w:val="000000"/>
                <w:kern w:val="0"/>
                <w:szCs w:val="21"/>
              </w:rPr>
              <w:t xml:space="preserve">   查见《人力资源控制程序》，其内容包括：目的、范围、职责、程序内容、相关文件、相关内容等对人员的认知要求、能力、意识和培训等方面的控制进行了规定。综合部根据各部门的需要配备管理体系运行所需的人员，任命内审员3名均经过相关培训。提供有员工花名册，目前公司共有员工约54人，各部门人员配备基本充分，基本符合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rPr>
              <w:t xml:space="preserve">为获取更多必要的知识采用工作经验总结、顾客意见的采集，行业领先者的最佳实践调查等。主要是从顾客满意度调查收集的顾客抱怨、反馈等知识。   </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QEO7.2</w:t>
            </w:r>
          </w:p>
          <w:p>
            <w:pPr>
              <w:spacing w:line="280" w:lineRule="exact"/>
              <w:rPr>
                <w:rFonts w:ascii="宋体" w:hAnsi="宋体" w:cs="宋体"/>
                <w:color w:val="000000"/>
                <w:kern w:val="0"/>
                <w:szCs w:val="21"/>
              </w:rPr>
            </w:pPr>
          </w:p>
          <w:p>
            <w:pPr>
              <w:spacing w:line="280" w:lineRule="exact"/>
              <w:rPr>
                <w:b/>
                <w:szCs w:val="21"/>
              </w:rPr>
            </w:pPr>
          </w:p>
        </w:tc>
        <w:tc>
          <w:tcPr>
            <w:tcW w:w="10738" w:type="dxa"/>
            <w:vAlign w:val="center"/>
          </w:tcPr>
          <w:p>
            <w:pPr>
              <w:spacing w:line="280" w:lineRule="exact"/>
              <w:ind w:firstLine="420" w:firstLineChars="200"/>
              <w:rPr>
                <w:szCs w:val="21"/>
              </w:rPr>
            </w:pPr>
            <w:r>
              <w:rPr>
                <w:rFonts w:hint="eastAsia"/>
                <w:szCs w:val="21"/>
              </w:rPr>
              <w:t>公司提供各岗位职责，对各岗位能力规定的要求包括了专业技能、岗位资格、能力、工作经验等。提供《员工能力评定表》对公司骨干员工进行了能力的确认，抽查关键岗位生产部骨干刘阿宜社的岗位能力评定表，分别从年龄、教育程度、经验、经历、技能要求等方面进行了评定，最终确认结果：满足要求。</w:t>
            </w:r>
          </w:p>
          <w:p>
            <w:pPr>
              <w:spacing w:line="280" w:lineRule="exact"/>
              <w:ind w:firstLine="420" w:firstLineChars="200"/>
              <w:rPr>
                <w:szCs w:val="21"/>
              </w:rPr>
            </w:pPr>
            <w:r>
              <w:rPr>
                <w:rFonts w:hint="eastAsia"/>
                <w:szCs w:val="21"/>
              </w:rPr>
              <w:t>总体评价：符合上岗要求，准予上岗。</w:t>
            </w:r>
          </w:p>
          <w:p>
            <w:pPr>
              <w:spacing w:line="280" w:lineRule="exact"/>
              <w:ind w:firstLine="420" w:firstLineChars="200"/>
              <w:rPr>
                <w:szCs w:val="21"/>
              </w:rPr>
            </w:pPr>
            <w:r>
              <w:rPr>
                <w:rFonts w:hint="eastAsia"/>
                <w:szCs w:val="21"/>
              </w:rPr>
              <w:t>查2019年培训计划包括管理体系标准、体系导入培训、环境因素/危险源识别、评价与控制、内审员培训、安全培训、火灾应急培训等。</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2019-4-18：对GB/T19001-2016质量管理体系、GB/T24001-2016环境管理体系标准、GB/T45001-2020职业健康安全管理体系标准进行了培训。培训老师：外聘，参加人员：各部门人员等。通过问答对理解情况进行考核，考核结果：全部通过。验证人：张勤。</w:t>
            </w:r>
          </w:p>
          <w:p>
            <w:pPr>
              <w:spacing w:line="280" w:lineRule="exact"/>
              <w:ind w:firstLine="420" w:firstLineChars="200"/>
              <w:rPr>
                <w:szCs w:val="21"/>
              </w:rPr>
            </w:pPr>
            <w:r>
              <w:rPr>
                <w:rFonts w:hint="eastAsia"/>
                <w:szCs w:val="21"/>
              </w:rPr>
              <w:t>2、2019-6-15：对三体系文件、管理方针、管理目标等进行培训，参加人：各部门负责人及主要岗位员工等，培训老师：</w:t>
            </w:r>
            <w:r>
              <w:rPr>
                <w:rFonts w:hint="eastAsia"/>
                <w:szCs w:val="21"/>
                <w:lang w:eastAsia="zh-CN"/>
              </w:rPr>
              <w:t>张弛</w:t>
            </w:r>
            <w:r>
              <w:rPr>
                <w:rFonts w:hint="eastAsia"/>
                <w:szCs w:val="21"/>
              </w:rPr>
              <w:t>。通过问答对理解情况进行考核，考核结果：全部通过。验证人：张勤。</w:t>
            </w:r>
          </w:p>
          <w:p>
            <w:pPr>
              <w:spacing w:line="280" w:lineRule="exact"/>
              <w:ind w:firstLine="420" w:firstLineChars="200"/>
              <w:rPr>
                <w:szCs w:val="21"/>
              </w:rPr>
            </w:pPr>
            <w:r>
              <w:rPr>
                <w:rFonts w:hint="eastAsia"/>
                <w:szCs w:val="21"/>
              </w:rPr>
              <w:t>3、2019-7-10：进行了环境、安全管理制度及应急预案培训，内容包括：消防安全应急知识、如何使用灭火器、逃生等，培训老师：外聘。参加人：主要岗位员工。通过问答对理解情况进行考核，考核结果：全部通过。验证人：张勤。</w:t>
            </w:r>
          </w:p>
          <w:p>
            <w:pPr>
              <w:spacing w:line="280" w:lineRule="exact"/>
              <w:ind w:firstLine="420" w:firstLineChars="200"/>
              <w:rPr>
                <w:szCs w:val="21"/>
              </w:rPr>
            </w:pPr>
            <w:r>
              <w:rPr>
                <w:rFonts w:hint="eastAsia"/>
                <w:szCs w:val="21"/>
              </w:rPr>
              <w:t>4、2019-10-28：进行了内审员培训，内容包括：内审技巧、审核知识等，培训老师：外聘。参加人：</w:t>
            </w:r>
            <w:r>
              <w:rPr>
                <w:rFonts w:hint="eastAsia"/>
                <w:szCs w:val="21"/>
                <w:lang w:eastAsia="zh-CN"/>
              </w:rPr>
              <w:t>张弛</w:t>
            </w:r>
            <w:r>
              <w:rPr>
                <w:rFonts w:hint="eastAsia"/>
                <w:szCs w:val="21"/>
              </w:rPr>
              <w:t>、刘文良、王俊祥。通过问答对理解情况进行考核，考核结果：全部通过。验证人：张勤。</w:t>
            </w:r>
          </w:p>
          <w:p>
            <w:pPr>
              <w:spacing w:line="280" w:lineRule="exact"/>
              <w:ind w:firstLine="420" w:firstLineChars="200"/>
              <w:rPr>
                <w:szCs w:val="21"/>
              </w:rPr>
            </w:pPr>
            <w:r>
              <w:rPr>
                <w:rFonts w:hint="eastAsia"/>
                <w:szCs w:val="21"/>
              </w:rPr>
              <w:t>特殊工种：焊工王双芹等6人、电工李继峰等32人（包括高压电工、电气试验作业、建筑电工）、塔式起重机司机崔浩东、建筑起重司索信号工刘德坡、安全员等，见附件已带回机构。</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QE7.3</w:t>
            </w:r>
          </w:p>
          <w:p>
            <w:pPr>
              <w:spacing w:line="280" w:lineRule="exact"/>
              <w:rPr>
                <w:b/>
                <w:szCs w:val="21"/>
              </w:rPr>
            </w:pPr>
          </w:p>
        </w:tc>
        <w:tc>
          <w:tcPr>
            <w:tcW w:w="10738" w:type="dxa"/>
            <w:vAlign w:val="center"/>
          </w:tcPr>
          <w:p>
            <w:pPr>
              <w:spacing w:line="280" w:lineRule="exact"/>
              <w:ind w:firstLine="420" w:firstLineChars="200"/>
              <w:rPr>
                <w:szCs w:val="21"/>
              </w:rPr>
            </w:pPr>
            <w:r>
              <w:rPr>
                <w:rFonts w:hint="eastAsia"/>
                <w:szCs w:val="21"/>
              </w:rPr>
              <w:t>公司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b/>
                <w:szCs w:val="21"/>
              </w:rPr>
            </w:pPr>
            <w:r>
              <w:rPr>
                <w:rFonts w:hint="eastAsia"/>
                <w:szCs w:val="21"/>
              </w:rPr>
              <w:t>询问综合部</w:t>
            </w:r>
            <w:r>
              <w:rPr>
                <w:rFonts w:hint="eastAsia"/>
                <w:szCs w:val="21"/>
                <w:lang w:eastAsia="zh-CN"/>
              </w:rPr>
              <w:t>张弛</w:t>
            </w:r>
            <w:r>
              <w:rPr>
                <w:rFonts w:hint="eastAsia"/>
                <w:szCs w:val="21"/>
              </w:rPr>
              <w:t>部长知道公司方针，知道所在的工作岗位的质量、环境、职业健康安全目标，也了解自己的工作好坏会影响组织资质量、环境、职业健康安全管理体系的有效运行。</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QEO7.4</w:t>
            </w:r>
          </w:p>
          <w:p>
            <w:pPr>
              <w:spacing w:line="280" w:lineRule="exact"/>
              <w:rPr>
                <w:rFonts w:ascii="宋体" w:hAnsi="宋体" w:cs="宋体"/>
                <w:color w:val="000000"/>
                <w:kern w:val="0"/>
                <w:szCs w:val="21"/>
              </w:rPr>
            </w:pPr>
          </w:p>
        </w:tc>
        <w:tc>
          <w:tcPr>
            <w:tcW w:w="10738" w:type="dxa"/>
            <w:vAlign w:val="center"/>
          </w:tcPr>
          <w:p>
            <w:pPr>
              <w:spacing w:line="280" w:lineRule="exact"/>
              <w:ind w:firstLine="420" w:firstLineChars="200"/>
              <w:rPr>
                <w:szCs w:val="21"/>
              </w:rPr>
            </w:pPr>
            <w:r>
              <w:rPr>
                <w:rFonts w:hint="eastAsia"/>
                <w:szCs w:val="21"/>
              </w:rPr>
              <w:t>公司编制并实施了《信息交流和协商沟通管理程序》，规定了职责、工作流程，包括内部沟通和外部沟通的方法和要求。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环保部门、安监局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外部交流：通过发放《关于对相关方要求的告知书》与相关方就相关质量、环境、职业健康安全信息进行相互沟通。</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QEO7.5</w:t>
            </w:r>
          </w:p>
          <w:p>
            <w:pPr>
              <w:spacing w:line="280" w:lineRule="exact"/>
              <w:rPr>
                <w:rFonts w:ascii="宋体" w:hAnsi="宋体" w:cs="宋体"/>
                <w:color w:val="000000"/>
                <w:kern w:val="0"/>
                <w:szCs w:val="21"/>
              </w:rPr>
            </w:pPr>
          </w:p>
        </w:tc>
        <w:tc>
          <w:tcPr>
            <w:tcW w:w="10738" w:type="dxa"/>
            <w:vAlign w:val="center"/>
          </w:tcPr>
          <w:p>
            <w:pPr>
              <w:spacing w:line="280" w:lineRule="exact"/>
              <w:ind w:firstLine="420" w:firstLineChars="200"/>
              <w:rPr>
                <w:szCs w:val="21"/>
              </w:rPr>
            </w:pPr>
            <w:r>
              <w:rPr>
                <w:rFonts w:hint="eastAsia"/>
                <w:szCs w:val="21"/>
              </w:rPr>
              <w:t>公司的管理手册及相关体系文件系统的描述了公司整个管理体系，内容包括：管理体系覆盖的制造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rPr>
                <w:szCs w:val="21"/>
              </w:rPr>
            </w:pPr>
            <w:r>
              <w:rPr>
                <w:rFonts w:hint="eastAsia"/>
                <w:szCs w:val="21"/>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三层次文件：制度和作业指导书，外来文件：包括产品国家标准，质量、环境、职业健康安全及运行记录，满足公司目前的管理体系运行的需要。体系文件基本能保证有效性和效率的要求。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三体系程序文件及资质范围内电力设施的承修、承装、承试及相关服务；资质范围内10KV高压开关柜、分支箱、变压器、低压抽出式开关设备、箱式变电站、低压无功补偿装置的制造及相关服务过程生产质量检查考核制度、施工现场管理办法、固废管理制度、安全生产管理制度等。无企业标准。</w:t>
            </w:r>
          </w:p>
          <w:p>
            <w:pPr>
              <w:spacing w:line="280" w:lineRule="exact"/>
              <w:ind w:firstLine="420" w:firstLineChars="200"/>
              <w:rPr>
                <w:rFonts w:hint="eastAsia"/>
                <w:szCs w:val="21"/>
              </w:rPr>
            </w:pPr>
            <w:r>
              <w:rPr>
                <w:rFonts w:hint="eastAsia"/>
                <w:szCs w:val="21"/>
              </w:rPr>
              <w:t>查管理手册、程序文件等文件，编制：综合部，批准：张勤，2019.12.10，查文件编审批手续齐全、文件清晰、编号符合文件控制程序要求。查综合部文件，都有受控标识，有效版本。</w:t>
            </w:r>
          </w:p>
          <w:p>
            <w:pPr>
              <w:spacing w:line="280" w:lineRule="exact"/>
              <w:ind w:firstLine="420" w:firstLineChars="200"/>
              <w:rPr>
                <w:rFonts w:hint="eastAsia"/>
                <w:szCs w:val="21"/>
              </w:rPr>
            </w:pPr>
          </w:p>
          <w:p>
            <w:pPr>
              <w:spacing w:line="280" w:lineRule="exact"/>
              <w:ind w:firstLine="420" w:firstLineChars="200"/>
              <w:rPr>
                <w:szCs w:val="21"/>
              </w:rPr>
            </w:pPr>
            <w:r>
              <w:rPr>
                <w:rFonts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ascii="宋体" w:hAnsi="宋体" w:cs="宋体"/>
                <w:szCs w:val="21"/>
              </w:rPr>
              <w:t>《中华人民共和国产品质量法》、《中华人民共和国合同法》、《中华人民共和国公司法》、《电力变压器》、《低压成套无功补偿装置》、《中华人民共和国环境保护法》、《中华人民共和国安全生产法》</w:t>
            </w:r>
            <w:r>
              <w:rPr>
                <w:rFonts w:hint="eastAsia"/>
                <w:szCs w:val="21"/>
              </w:rPr>
              <w:t>等。</w:t>
            </w:r>
          </w:p>
          <w:p>
            <w:pPr>
              <w:spacing w:line="280" w:lineRule="exact"/>
              <w:ind w:firstLine="420" w:firstLineChars="200"/>
              <w:rPr>
                <w:szCs w:val="21"/>
              </w:rPr>
            </w:pPr>
            <w:r>
              <w:rPr>
                <w:rFonts w:hint="eastAsia"/>
                <w:szCs w:val="21"/>
              </w:rPr>
              <w:t>查文件发放：综合部2019.12.10下发了质量、环境、职业健康安全管理手册、程序文件等文件。</w:t>
            </w:r>
          </w:p>
          <w:p>
            <w:pPr>
              <w:spacing w:line="280" w:lineRule="exact"/>
              <w:ind w:firstLine="420" w:firstLineChars="200"/>
              <w:rPr>
                <w:szCs w:val="21"/>
              </w:rPr>
            </w:pPr>
            <w:r>
              <w:rPr>
                <w:rFonts w:hint="eastAsia"/>
                <w:szCs w:val="21"/>
              </w:rPr>
              <w:t>查综合部文件有标识，检索方便，文件夹存放于文件柜内，防护符合要求。</w:t>
            </w:r>
          </w:p>
          <w:p>
            <w:pPr>
              <w:spacing w:line="280" w:lineRule="exact"/>
              <w:ind w:firstLine="420" w:firstLineChars="200"/>
              <w:rPr>
                <w:szCs w:val="21"/>
              </w:rPr>
            </w:pPr>
            <w:r>
              <w:rPr>
                <w:rFonts w:hint="eastAsia"/>
                <w:szCs w:val="21"/>
              </w:rPr>
              <w:t>公司按《记录管理程序》实施对管理体系记录的标识、贮存、保护、检索、保存期限和处置等按规定实施。</w:t>
            </w:r>
          </w:p>
          <w:p>
            <w:pPr>
              <w:spacing w:line="280" w:lineRule="exact"/>
              <w:ind w:firstLine="420" w:firstLineChars="200"/>
              <w:rPr>
                <w:szCs w:val="21"/>
              </w:rPr>
            </w:pPr>
            <w:r>
              <w:rPr>
                <w:rFonts w:hint="eastAsia"/>
                <w:szCs w:val="21"/>
              </w:rPr>
              <w:t>公司提供《记录清单》—有内审报告、供方评价表、环境因素和危险源清单、管理评审报告等记录。明确了记录名称、编号、使用保存部门、保存期限等，并经审核后使用。</w:t>
            </w:r>
          </w:p>
          <w:p>
            <w:pPr>
              <w:spacing w:line="280" w:lineRule="exact"/>
              <w:ind w:firstLine="420" w:firstLineChars="200"/>
              <w:rPr>
                <w:szCs w:val="21"/>
              </w:rPr>
            </w:pPr>
            <w:r>
              <w:rPr>
                <w:rFonts w:hint="eastAsia"/>
                <w:szCs w:val="21"/>
              </w:rPr>
              <w:t>公司各种记录由各使用部门保存，查阅综合部保存的记录环境情况，归档文件、记录存放于通风、干燥的文件柜内，环境干燥、通风，符合文件归档的要求。</w:t>
            </w:r>
          </w:p>
          <w:p>
            <w:pPr>
              <w:spacing w:line="280" w:lineRule="exact"/>
              <w:ind w:firstLine="420" w:firstLineChars="200"/>
              <w:rPr>
                <w:szCs w:val="21"/>
              </w:rPr>
            </w:pPr>
            <w:r>
              <w:rPr>
                <w:rFonts w:hint="eastAsia"/>
                <w:szCs w:val="21"/>
              </w:rPr>
              <w:t>抽查归档文件整理情况，综合部已将文件进行了分类，按记录的名称、编号及时间装文件袋进行归档，记录清洁，字迹清晰，检索方便，抽查有内部审核资料、管理评审资料等，均已装订成册。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rFonts w:hint="eastAsia"/>
                <w:szCs w:val="21"/>
              </w:rPr>
            </w:pPr>
            <w:r>
              <w:rPr>
                <w:rFonts w:hint="eastAsia"/>
                <w:szCs w:val="21"/>
              </w:rPr>
              <w:t>原件记录原则上不外借，其它记录查阅时须有关部门同意后，方可查阅。</w:t>
            </w:r>
          </w:p>
          <w:p>
            <w:pPr>
              <w:spacing w:before="120" w:line="320" w:lineRule="exact"/>
              <w:ind w:firstLine="738" w:firstLineChars="350"/>
              <w:rPr>
                <w:rFonts w:hint="eastAsia" w:ascii="宋体" w:hAnsi="宋体"/>
                <w:b/>
                <w:bCs w:val="0"/>
                <w:color w:val="FF0000"/>
                <w:szCs w:val="21"/>
              </w:rPr>
            </w:pPr>
            <w:r>
              <w:rPr>
                <w:rFonts w:hint="eastAsia" w:ascii="宋体" w:hAnsi="宋体" w:cs="宋体"/>
                <w:b/>
                <w:bCs w:val="0"/>
                <w:color w:val="FF0000"/>
                <w:szCs w:val="21"/>
              </w:rPr>
              <w:t>在</w:t>
            </w:r>
            <w:r>
              <w:rPr>
                <w:rFonts w:hint="eastAsia" w:ascii="宋体" w:hAnsi="宋体" w:cs="宋体"/>
                <w:b/>
                <w:bCs w:val="0"/>
                <w:color w:val="FF0000"/>
                <w:szCs w:val="21"/>
                <w:lang w:val="en-US" w:eastAsia="zh-CN"/>
              </w:rPr>
              <w:t>综合部</w:t>
            </w:r>
            <w:r>
              <w:rPr>
                <w:rFonts w:hint="eastAsia" w:ascii="宋体" w:hAnsi="宋体" w:cs="宋体"/>
                <w:b/>
                <w:bCs w:val="0"/>
                <w:color w:val="FF0000"/>
                <w:szCs w:val="21"/>
              </w:rPr>
              <w:t>审核时发现，公司2019年</w:t>
            </w:r>
            <w:r>
              <w:rPr>
                <w:rFonts w:hint="eastAsia" w:ascii="宋体" w:hAnsi="宋体" w:cs="宋体"/>
                <w:b/>
                <w:bCs w:val="0"/>
                <w:color w:val="FF0000"/>
                <w:szCs w:val="21"/>
                <w:lang w:val="en-US" w:eastAsia="zh-CN"/>
              </w:rPr>
              <w:t>12</w:t>
            </w:r>
            <w:r>
              <w:rPr>
                <w:rFonts w:hint="eastAsia" w:ascii="宋体" w:hAnsi="宋体" w:cs="宋体"/>
                <w:b/>
                <w:bCs w:val="0"/>
                <w:color w:val="FF0000"/>
                <w:szCs w:val="21"/>
              </w:rPr>
              <w:t>月</w:t>
            </w:r>
            <w:r>
              <w:rPr>
                <w:rFonts w:hint="eastAsia" w:ascii="宋体" w:hAnsi="宋体" w:cs="宋体"/>
                <w:b/>
                <w:bCs w:val="0"/>
                <w:color w:val="FF0000"/>
                <w:szCs w:val="21"/>
                <w:lang w:val="en-US" w:eastAsia="zh-CN"/>
              </w:rPr>
              <w:t>10</w:t>
            </w:r>
            <w:r>
              <w:rPr>
                <w:rFonts w:hint="eastAsia" w:ascii="宋体" w:hAnsi="宋体" w:cs="宋体"/>
                <w:b/>
                <w:bCs w:val="0"/>
                <w:color w:val="FF0000"/>
                <w:szCs w:val="21"/>
              </w:rPr>
              <w:t>日实施了</w:t>
            </w:r>
            <w:r>
              <w:rPr>
                <w:b/>
                <w:bCs w:val="0"/>
                <w:color w:val="FF0000"/>
                <w:sz w:val="21"/>
                <w:szCs w:val="21"/>
              </w:rPr>
              <w:t>QB</w:t>
            </w:r>
            <w:r>
              <w:rPr>
                <w:rFonts w:hint="eastAsia"/>
                <w:b/>
                <w:bCs w:val="0"/>
                <w:color w:val="FF0000"/>
                <w:sz w:val="21"/>
                <w:szCs w:val="21"/>
              </w:rPr>
              <w:t>/SADL.SC-2019</w:t>
            </w:r>
            <w:r>
              <w:rPr>
                <w:rFonts w:hint="eastAsia" w:ascii="宋体" w:hAnsi="宋体" w:cs="宋体"/>
                <w:b/>
                <w:bCs w:val="0"/>
                <w:color w:val="FF0000"/>
                <w:szCs w:val="21"/>
              </w:rPr>
              <w:t>B/0版的管理体系文件，索阅公司对已作废的A</w:t>
            </w:r>
            <w:r>
              <w:rPr>
                <w:rFonts w:hint="eastAsia" w:ascii="宋体" w:hAnsi="宋体" w:cs="宋体"/>
                <w:b/>
                <w:bCs w:val="0"/>
                <w:color w:val="FF0000"/>
                <w:szCs w:val="21"/>
                <w:lang w:val="en-US" w:eastAsia="zh-CN"/>
              </w:rPr>
              <w:t>/0</w:t>
            </w:r>
            <w:r>
              <w:rPr>
                <w:rFonts w:hint="eastAsia" w:ascii="宋体" w:hAnsi="宋体" w:cs="宋体"/>
                <w:b/>
                <w:bCs w:val="0"/>
                <w:color w:val="FF0000"/>
                <w:szCs w:val="21"/>
              </w:rPr>
              <w:t>版质量、环境和职业健康安全管理手册(</w:t>
            </w:r>
            <w:r>
              <w:rPr>
                <w:b/>
                <w:bCs w:val="0"/>
                <w:color w:val="FF0000"/>
                <w:sz w:val="21"/>
                <w:szCs w:val="21"/>
              </w:rPr>
              <w:t>QB</w:t>
            </w:r>
            <w:r>
              <w:rPr>
                <w:rFonts w:hint="eastAsia"/>
                <w:b/>
                <w:bCs w:val="0"/>
                <w:color w:val="FF0000"/>
                <w:sz w:val="21"/>
                <w:szCs w:val="21"/>
              </w:rPr>
              <w:t>/SADL.SC-201</w:t>
            </w:r>
            <w:r>
              <w:rPr>
                <w:rFonts w:hint="eastAsia"/>
                <w:b/>
                <w:bCs w:val="0"/>
                <w:color w:val="FF0000"/>
                <w:sz w:val="21"/>
                <w:szCs w:val="21"/>
                <w:lang w:val="en-US" w:eastAsia="zh-CN"/>
              </w:rPr>
              <w:t>8</w:t>
            </w:r>
            <w:r>
              <w:rPr>
                <w:rFonts w:hint="eastAsia" w:ascii="宋体" w:hAnsi="宋体" w:cs="宋体"/>
                <w:b/>
                <w:bCs w:val="0"/>
                <w:color w:val="FF0000"/>
                <w:szCs w:val="21"/>
              </w:rPr>
              <w:t>)A/0的处置的相关信息，未能提供相关证实。</w:t>
            </w:r>
            <w:r>
              <w:rPr>
                <w:rFonts w:hint="eastAsia" w:ascii="宋体" w:hAnsi="宋体" w:cs="楷体_GB2312"/>
                <w:b/>
                <w:bCs w:val="0"/>
                <w:color w:val="FF0000"/>
                <w:szCs w:val="21"/>
              </w:rPr>
              <w:t>不符合标准及规范要求</w:t>
            </w:r>
            <w:r>
              <w:rPr>
                <w:rFonts w:hint="eastAsia" w:ascii="宋体" w:hAnsi="宋体"/>
                <w:b/>
                <w:bCs w:val="0"/>
                <w:color w:val="FF0000"/>
                <w:szCs w:val="21"/>
              </w:rPr>
              <w:t>。</w:t>
            </w:r>
          </w:p>
          <w:p>
            <w:pPr>
              <w:spacing w:before="120" w:line="320" w:lineRule="exact"/>
              <w:ind w:firstLine="738" w:firstLineChars="350"/>
              <w:rPr>
                <w:rFonts w:hint="default" w:ascii="宋体" w:hAnsi="宋体" w:eastAsia="宋体"/>
                <w:b/>
                <w:bCs w:val="0"/>
                <w:color w:val="FF0000"/>
                <w:szCs w:val="21"/>
                <w:lang w:val="en-US" w:eastAsia="zh-CN"/>
              </w:rPr>
            </w:pPr>
            <w:r>
              <w:rPr>
                <w:rFonts w:hint="eastAsia" w:ascii="宋体" w:hAnsi="宋体"/>
                <w:b/>
                <w:bCs w:val="0"/>
                <w:color w:val="FF0000"/>
                <w:szCs w:val="21"/>
                <w:lang w:val="en-US" w:eastAsia="zh-CN"/>
              </w:rPr>
              <w:t>现场对不符合进行验证，以有效关闭，未见明显不符合。</w:t>
            </w:r>
          </w:p>
        </w:tc>
        <w:tc>
          <w:tcPr>
            <w:tcW w:w="851"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分析与评价</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Q9.1.3</w:t>
            </w:r>
          </w:p>
          <w:p>
            <w:pPr>
              <w:spacing w:line="280" w:lineRule="exact"/>
              <w:rPr>
                <w:rFonts w:ascii="宋体" w:hAnsi="宋体" w:cs="宋体"/>
                <w:szCs w:val="21"/>
              </w:rPr>
            </w:pPr>
          </w:p>
        </w:tc>
        <w:tc>
          <w:tcPr>
            <w:tcW w:w="10738"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公司数据包括：对资质范围内电力设施的承修、承装、承试及相关服务；资质范围内10KV高压开关柜、分支箱、变压器、低压抽出式开关设备、箱式变电站、低压无功补偿装置的制造及相关服务状况、管理体系运行、顾客满意、实现过程、供方等过程的数据分析。</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查自公司管理体系运行以来，已经进行搜集信息和数据的活动：管理目标考核、顾客满意度调查、供方的交付和管理体系安全运行情况等的简单分析。</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统计技术查到：调查表用于顾客满意度调查；用于供方调查、评价和选择；用于市场调查。</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数据分析基本有效，但较简单须加强，已沟通。</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加强风险管控。</w:t>
            </w:r>
          </w:p>
          <w:p>
            <w:pPr>
              <w:spacing w:line="280" w:lineRule="exact"/>
              <w:ind w:firstLine="420" w:firstLineChars="200"/>
              <w:rPr>
                <w:rFonts w:ascii="宋体" w:hAnsi="宋体" w:cs="宋体"/>
                <w:szCs w:val="21"/>
              </w:rPr>
            </w:pPr>
            <w:r>
              <w:rPr>
                <w:rFonts w:hint="eastAsia" w:ascii="宋体" w:hAnsi="宋体" w:cs="宋体"/>
                <w:color w:val="000000"/>
                <w:kern w:val="0"/>
                <w:szCs w:val="21"/>
              </w:rPr>
              <w:t>信息和数据分析、评价情况见各相关过程的审核记录。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QEO9.2</w:t>
            </w:r>
          </w:p>
          <w:p>
            <w:pPr>
              <w:spacing w:line="280" w:lineRule="exact"/>
              <w:rPr>
                <w:rFonts w:ascii="宋体" w:hAnsi="宋体" w:cs="宋体"/>
                <w:color w:val="000000"/>
                <w:kern w:val="0"/>
                <w:szCs w:val="21"/>
              </w:rPr>
            </w:pPr>
          </w:p>
          <w:p>
            <w:pPr>
              <w:spacing w:line="280" w:lineRule="exact"/>
              <w:rPr>
                <w:rFonts w:ascii="宋体" w:hAnsi="宋体" w:cs="宋体"/>
                <w:szCs w:val="21"/>
              </w:rPr>
            </w:pPr>
          </w:p>
        </w:tc>
        <w:tc>
          <w:tcPr>
            <w:tcW w:w="10738" w:type="dxa"/>
            <w:vAlign w:val="center"/>
          </w:tcPr>
          <w:p>
            <w:pPr>
              <w:spacing w:line="280" w:lineRule="exact"/>
              <w:ind w:firstLine="420" w:firstLineChars="200"/>
              <w:rPr>
                <w:szCs w:val="21"/>
              </w:rPr>
            </w:pPr>
            <w:r>
              <w:rPr>
                <w:rFonts w:hint="eastAsia"/>
                <w:szCs w:val="21"/>
              </w:rPr>
              <w:t>公司编制并实施了《内部审核管理程序》，并能按标准规定对内部审核的策划、实施、人员安排与资质、内部审核的记录、不符合项的分析与验证，以及审核的结论等开展内部审核。</w:t>
            </w:r>
          </w:p>
          <w:p>
            <w:pPr>
              <w:spacing w:line="280" w:lineRule="exact"/>
              <w:ind w:firstLine="420" w:firstLineChars="200"/>
              <w:rPr>
                <w:szCs w:val="21"/>
              </w:rPr>
            </w:pPr>
            <w:r>
              <w:rPr>
                <w:rFonts w:hint="eastAsia"/>
                <w:szCs w:val="21"/>
              </w:rPr>
              <w:t>由管理者代表</w:t>
            </w:r>
            <w:r>
              <w:rPr>
                <w:rFonts w:hint="eastAsia"/>
                <w:szCs w:val="21"/>
                <w:lang w:eastAsia="zh-CN"/>
              </w:rPr>
              <w:t>张弛</w:t>
            </w:r>
            <w:r>
              <w:rPr>
                <w:rFonts w:hint="eastAsia"/>
                <w:szCs w:val="21"/>
              </w:rPr>
              <w:t>定期组织内部审核，一般每年进行一次内部审核，时间间隔不超过12个月，抽查最近一次的内部审核情况：</w:t>
            </w:r>
          </w:p>
          <w:p>
            <w:pPr>
              <w:spacing w:line="280" w:lineRule="exact"/>
              <w:ind w:firstLine="420" w:firstLineChars="200"/>
              <w:rPr>
                <w:szCs w:val="21"/>
              </w:rPr>
            </w:pPr>
            <w:r>
              <w:rPr>
                <w:rFonts w:hint="eastAsia"/>
                <w:szCs w:val="21"/>
              </w:rPr>
              <w:t>年度审核计划：提供《内部审核实施计划》，其内容已包括了审核目的、范围、准则、审核方法、日期（2019.11.9-10），编制：张梦婷，审批：张勤</w:t>
            </w:r>
          </w:p>
          <w:p>
            <w:pPr>
              <w:spacing w:line="280" w:lineRule="exact"/>
              <w:ind w:firstLine="420" w:firstLineChars="200"/>
              <w:rPr>
                <w:szCs w:val="21"/>
              </w:rPr>
            </w:pPr>
            <w:r>
              <w:rPr>
                <w:rFonts w:hint="eastAsia"/>
                <w:szCs w:val="21"/>
              </w:rPr>
              <w:t>审核目的：验证质量、环境、职业健康安全管理体系对标准的符合性及实施的有效性和充分性，持续改进管理体系。</w:t>
            </w:r>
          </w:p>
          <w:p>
            <w:pPr>
              <w:spacing w:line="280" w:lineRule="exact"/>
              <w:ind w:firstLine="420" w:firstLineChars="200"/>
              <w:rPr>
                <w:szCs w:val="21"/>
              </w:rPr>
            </w:pPr>
            <w:r>
              <w:rPr>
                <w:rFonts w:hint="eastAsia"/>
                <w:szCs w:val="21"/>
              </w:rPr>
              <w:t>审核依据：GB/T19001-2016、GB/T24001-2016、GB/T45001-2020的标准、体系文件、顾客要求、相关法律法规等</w:t>
            </w:r>
          </w:p>
          <w:p>
            <w:pPr>
              <w:spacing w:line="280" w:lineRule="exact"/>
              <w:ind w:firstLine="420" w:firstLineChars="200"/>
              <w:rPr>
                <w:szCs w:val="21"/>
              </w:rPr>
            </w:pPr>
            <w:r>
              <w:rPr>
                <w:rFonts w:hint="eastAsia"/>
                <w:szCs w:val="21"/>
              </w:rPr>
              <w:t>内部审核实施：组长/组员：张梦婷、王春军、王俊祥3人，审核按计划进行，全部内审员经内部培训合格，能力尚可。</w:t>
            </w:r>
          </w:p>
          <w:p>
            <w:pPr>
              <w:spacing w:line="280" w:lineRule="exact"/>
              <w:ind w:firstLine="420" w:firstLineChars="200"/>
              <w:rPr>
                <w:szCs w:val="21"/>
              </w:rPr>
            </w:pPr>
            <w:r>
              <w:rPr>
                <w:rFonts w:hint="eastAsia"/>
                <w:szCs w:val="21"/>
              </w:rPr>
              <w:t>审核计划已考虑到互查的公正性，无审核员审核本部门的情况，计划内容涉及各部门，条款覆盖整个标准。</w:t>
            </w:r>
          </w:p>
          <w:p>
            <w:pPr>
              <w:spacing w:line="280" w:lineRule="exact"/>
              <w:ind w:firstLine="420" w:firstLineChars="200"/>
              <w:rPr>
                <w:szCs w:val="21"/>
              </w:rPr>
            </w:pPr>
            <w:r>
              <w:rPr>
                <w:rFonts w:hint="eastAsia"/>
                <w:szCs w:val="21"/>
              </w:rPr>
              <w:t>提供了《内部审核检查表》，其中包括总经理/管理者代表、综合部、生产部、工程技术部等部门的审核记录，条款与策划一致，记录真实、完整。</w:t>
            </w:r>
          </w:p>
          <w:p>
            <w:pPr>
              <w:spacing w:line="280" w:lineRule="exact"/>
              <w:ind w:firstLine="420" w:firstLineChars="200"/>
              <w:rPr>
                <w:szCs w:val="21"/>
              </w:rPr>
            </w:pPr>
            <w:r>
              <w:rPr>
                <w:rFonts w:hint="eastAsia"/>
                <w:szCs w:val="21"/>
              </w:rPr>
              <w:t>本次内审发现6个一般不符合项，分布在综合部、生产部等。针对这个不合格，责任部门已分析了原因并采取了纠正措施，按要求进行了整改，最后内审员进行了验证，纠正措施实施有效。</w:t>
            </w:r>
          </w:p>
          <w:p>
            <w:pPr>
              <w:spacing w:line="280" w:lineRule="exact"/>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基本有效。</w:t>
            </w:r>
          </w:p>
          <w:p>
            <w:pPr>
              <w:spacing w:line="280" w:lineRule="exact"/>
              <w:ind w:firstLine="420" w:firstLineChars="200"/>
              <w:rPr>
                <w:rFonts w:ascii="宋体" w:hAnsi="宋体" w:cs="宋体"/>
                <w:szCs w:val="21"/>
              </w:rPr>
            </w:pPr>
            <w:r>
              <w:rPr>
                <w:rFonts w:hint="eastAsia"/>
                <w:szCs w:val="21"/>
              </w:rPr>
              <w:t>公司内部审核基本有效。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QEO10.2</w:t>
            </w:r>
          </w:p>
          <w:p>
            <w:pPr>
              <w:spacing w:line="280" w:lineRule="exact"/>
              <w:rPr>
                <w:rFonts w:ascii="宋体" w:hAnsi="宋体" w:cs="宋体"/>
                <w:szCs w:val="21"/>
              </w:rPr>
            </w:pPr>
          </w:p>
          <w:p>
            <w:pPr>
              <w:spacing w:line="280" w:lineRule="exact"/>
              <w:rPr>
                <w:rFonts w:ascii="宋体" w:hAnsi="宋体" w:cs="宋体"/>
                <w:szCs w:val="21"/>
              </w:rPr>
            </w:pPr>
          </w:p>
        </w:tc>
        <w:tc>
          <w:tcPr>
            <w:tcW w:w="10738" w:type="dxa"/>
            <w:vAlign w:val="center"/>
          </w:tcPr>
          <w:p>
            <w:pPr>
              <w:snapToGrid w:val="0"/>
              <w:spacing w:line="280" w:lineRule="exact"/>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公司内审时发现的不符合项进行了原因分析、纠正措施和验证，详见审核9.2条款记录。</w:t>
            </w:r>
          </w:p>
          <w:p>
            <w:pPr>
              <w:snapToGrid w:val="0"/>
              <w:spacing w:line="280" w:lineRule="exact"/>
              <w:ind w:firstLine="420" w:firstLineChars="200"/>
              <w:jc w:val="left"/>
              <w:rPr>
                <w:rFonts w:ascii="宋体" w:hAnsi="宋体" w:cs="宋体"/>
                <w:szCs w:val="21"/>
              </w:rPr>
            </w:pPr>
            <w:r>
              <w:rPr>
                <w:rFonts w:hint="eastAsia"/>
                <w:szCs w:val="21"/>
              </w:rPr>
              <w:t>公司对纠正及预防措施的管理基本符合要求。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szCs w:val="21"/>
              </w:rPr>
              <w:t>环境因素识别、危险源辨识及控制</w:t>
            </w:r>
          </w:p>
        </w:tc>
        <w:tc>
          <w:tcPr>
            <w:tcW w:w="960" w:type="dxa"/>
          </w:tcPr>
          <w:p>
            <w:pPr>
              <w:spacing w:line="280" w:lineRule="exact"/>
              <w:rPr>
                <w:szCs w:val="21"/>
              </w:rPr>
            </w:pPr>
            <w:r>
              <w:rPr>
                <w:rFonts w:hint="eastAsia"/>
                <w:szCs w:val="21"/>
              </w:rPr>
              <w:t>EO6.1.2</w:t>
            </w:r>
          </w:p>
          <w:p>
            <w:pPr>
              <w:spacing w:line="280" w:lineRule="exact"/>
              <w:rPr>
                <w:rFonts w:ascii="宋体" w:hAnsi="宋体" w:cs="宋体"/>
                <w:szCs w:val="21"/>
              </w:rPr>
            </w:pPr>
          </w:p>
        </w:tc>
        <w:tc>
          <w:tcPr>
            <w:tcW w:w="10738" w:type="dxa"/>
            <w:vAlign w:val="center"/>
          </w:tcPr>
          <w:p>
            <w:pPr>
              <w:spacing w:line="280" w:lineRule="exact"/>
              <w:ind w:firstLine="420" w:firstLineChars="200"/>
              <w:rPr>
                <w:szCs w:val="21"/>
              </w:rPr>
            </w:pPr>
            <w:r>
              <w:rPr>
                <w:rFonts w:hint="eastAsia"/>
                <w:szCs w:val="21"/>
              </w:rPr>
              <w:t>1)提供【环境因素识别评价管理程序】用以指导进行环境因素的识别、登记评价，以确定重要环境因素以及对环境因素的定期更新，环境因素的识别和确定考虑生命周期观点。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调查表”，识别的环境因素标明时态、状态和对环境的影响；经查阅识别出对在办公活动中产生的纸张等消耗、固废排放、生活废水排放等环境因素及考虑到环境管理体系发生变更时可能产生的环境因素。编制：张梦婷    批准：张勤  日期：2019.4.25</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重要环境因素采用经验/直接判断法，由各部门有管理经验的人员共同讨论、采用直接判断的方法确定重要环境因素，提供了“重要环境因素清单”：本部门的重要环境因素：火灾，办公废弃物；编制：张梦婷    批准：张勤  日期：2019.4.25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出线路老化、短路隐患，电线漏电、设备伤人、交通事故等情况产生的火灾、触电、意外伤害等危险因素。编制：张梦婷    批准：张勤 日期：2019.4.25</w:t>
            </w:r>
          </w:p>
          <w:p>
            <w:pPr>
              <w:spacing w:line="280" w:lineRule="exact"/>
              <w:ind w:firstLine="420" w:firstLineChars="200"/>
              <w:rPr>
                <w:rFonts w:ascii="宋体" w:hAnsi="宋体"/>
                <w:szCs w:val="21"/>
              </w:rPr>
            </w:pPr>
            <w:r>
              <w:rPr>
                <w:rFonts w:hint="eastAsia"/>
                <w:szCs w:val="21"/>
              </w:rPr>
              <w:t>由各部门有管理经验的人员共同讨论、采用直接判断的方法确定不可接受风险。提供了“不可接受风险清单”涉及本部门的不可接受风险有：火灾，意外伤害；针对不可接受风险编制了职业健康安全目标、指标及管理方案，内容包括：目标、指标、管理措施、完成时间、资金投入等；编制：张梦婷   批准：张勤 日期：2019.4.25</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EO8.1</w:t>
            </w:r>
          </w:p>
          <w:p>
            <w:pPr>
              <w:spacing w:line="280" w:lineRule="exact"/>
              <w:rPr>
                <w:szCs w:val="21"/>
              </w:rPr>
            </w:pPr>
          </w:p>
          <w:p>
            <w:pPr>
              <w:spacing w:line="280" w:lineRule="exact"/>
              <w:rPr>
                <w:rFonts w:ascii="宋体" w:hAnsi="宋体" w:cs="宋体"/>
                <w:szCs w:val="21"/>
              </w:rPr>
            </w:pPr>
          </w:p>
        </w:tc>
        <w:tc>
          <w:tcPr>
            <w:tcW w:w="10738"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ascii="宋体" w:hAnsi="宋体" w:cs="宋体"/>
                <w:szCs w:val="21"/>
              </w:rPr>
            </w:pPr>
            <w:r>
              <w:rPr>
                <w:rFonts w:hint="eastAsia" w:ascii="宋体" w:hAnsi="宋体" w:cs="宋体"/>
                <w:szCs w:val="21"/>
              </w:rPr>
              <w:t>办公现场基本无废气排放。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ascii="宋体" w:hAnsi="宋体" w:cs="宋体"/>
                <w:szCs w:val="21"/>
              </w:rPr>
            </w:pPr>
            <w:r>
              <w:rPr>
                <w:rFonts w:hint="eastAsia" w:ascii="宋体" w:hAnsi="宋体" w:cs="宋体"/>
                <w:szCs w:val="21"/>
              </w:rPr>
              <w:t>主要为生活垃圾，综合部有垃圾篓集中倒入垃圾站由政府环卫运送至统一地点集中处理。</w:t>
            </w:r>
          </w:p>
          <w:p>
            <w:pPr>
              <w:numPr>
                <w:ilvl w:val="0"/>
                <w:numId w:val="1"/>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0" w:firstLineChars="200"/>
              <w:rPr>
                <w:rFonts w:ascii="宋体" w:hAnsi="宋体" w:cs="宋体"/>
                <w:szCs w:val="21"/>
              </w:rPr>
            </w:pPr>
            <w:r>
              <w:rPr>
                <w:rFonts w:hint="eastAsia" w:ascii="宋体" w:hAnsi="宋体" w:cs="宋体"/>
                <w:szCs w:val="21"/>
              </w:rPr>
              <w:t>节水、节电、节油，人走关闭开关，现场采用节能灯，未发现有漏水和浪费电能的现象。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公司综合部有2个灭火器，每半年有检查，符合要求。</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公司给员工发放口罩等劳保用品。</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为关键长期员工上社保，提供缴费证据，见附件。</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目前无餐厅。</w:t>
            </w:r>
          </w:p>
          <w:p>
            <w:pPr>
              <w:numPr>
                <w:ilvl w:val="0"/>
                <w:numId w:val="2"/>
              </w:numPr>
              <w:spacing w:line="280" w:lineRule="exact"/>
              <w:ind w:firstLine="420" w:firstLineChars="200"/>
              <w:rPr>
                <w:rFonts w:ascii="宋体" w:hAnsi="宋体" w:cs="宋体"/>
                <w:szCs w:val="21"/>
              </w:rPr>
            </w:pPr>
            <w:r>
              <w:rPr>
                <w:rFonts w:hint="eastAsia" w:ascii="宋体" w:hAnsi="宋体" w:cs="宋体"/>
                <w:szCs w:val="21"/>
              </w:rPr>
              <w:t>为员工体检，抽查到3名员</w:t>
            </w:r>
            <w:r>
              <w:rPr>
                <w:rFonts w:hint="eastAsia" w:ascii="宋体" w:hAnsi="宋体" w:cs="宋体"/>
                <w:color w:val="auto"/>
                <w:szCs w:val="21"/>
              </w:rPr>
              <w:t>工2019年体检交款凭证。</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外部提供过程、服务和服务的控制</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szCs w:val="21"/>
              </w:rPr>
              <w:t>Q</w:t>
            </w:r>
            <w:r>
              <w:rPr>
                <w:rFonts w:hint="eastAsia" w:ascii="宋体" w:hAnsi="宋体" w:cs="宋体"/>
                <w:color w:val="000000"/>
                <w:kern w:val="0"/>
                <w:szCs w:val="21"/>
              </w:rPr>
              <w:t>8.4</w:t>
            </w:r>
          </w:p>
          <w:p>
            <w:pPr>
              <w:spacing w:line="280" w:lineRule="exact"/>
              <w:rPr>
                <w:rFonts w:ascii="宋体" w:hAnsi="宋体" w:cs="宋体"/>
                <w:szCs w:val="21"/>
              </w:rPr>
            </w:pPr>
            <w:r>
              <w:rPr>
                <w:rFonts w:hint="eastAsia" w:ascii="宋体" w:hAnsi="宋体" w:cs="宋体"/>
                <w:szCs w:val="21"/>
              </w:rPr>
              <w:t>O8.1.4</w:t>
            </w:r>
          </w:p>
        </w:tc>
        <w:tc>
          <w:tcPr>
            <w:tcW w:w="10738" w:type="dxa"/>
            <w:vAlign w:val="center"/>
          </w:tcPr>
          <w:p>
            <w:pPr>
              <w:spacing w:line="280" w:lineRule="exact"/>
              <w:ind w:firstLine="420" w:firstLineChars="200"/>
              <w:rPr>
                <w:rFonts w:ascii="宋体" w:hAnsi="宋体" w:cs="宋体"/>
                <w:color w:val="000000"/>
                <w:szCs w:val="21"/>
              </w:rPr>
            </w:pPr>
            <w:r>
              <w:rPr>
                <w:rFonts w:hint="eastAsia" w:ascii="宋体" w:hAnsi="宋体" w:cs="宋体"/>
                <w:color w:val="000000"/>
                <w:szCs w:val="21"/>
              </w:rPr>
              <w:t>该公司《采购管理程序》规定了外部供方的定义，供方选择和评定的方法、职责、要求和流程，明确了在下列情况下，组织应确定对外部提供的过程、产品和服务实施的控制：a) 外部供方的过程、产品和服务构成组织自身的产品和服务的一部分；b) 外部供方替组织直接将产品和服务提供给顾客；c) 组织决定由外部供方提供过程或部分过程。公司另外还编制了《供方质量管理制度》，明确了基于外部供方提供所要求的过程、产品或服务的能力，确定外部供方的评价、选择、绩效监视。</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公司采购产品主要为断路器、接触器、铜排、热继电器、绝缘件、壳体、隔离开关、电容器等，供方主要为个人。</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已编制形成《合格供方名录》共33家：抽查</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抽查1断路器供方----浙江正泰电器股份有限公司：2019年4月进行供方的评价，形成《合格供方评定记录表》一份，对产品质量、价格、信誉等内容进行评定。结论为：同意列入合格供方。批准人：张勤。</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抽查2壳体供方----天津市隆宇电器有限公司：2019年4月进行供方的评价，形成《合格供方评定记录表》一份，对产品质量、价格、信誉等内容进行评定。结论为：同意列入合格供方。批准人：张勤。</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抽查3绝缘导线供方----天津小猫线缆集团有限公司：2019年4月进行供方的评价，形成《合格供方评定记录表》一份，对产品质量、价格、信誉等内容进行评定。结论为：同意列入合格供方。批准人：张勤。</w:t>
            </w:r>
          </w:p>
          <w:p>
            <w:pPr>
              <w:spacing w:line="280" w:lineRule="exact"/>
              <w:ind w:firstLine="420" w:firstLineChars="200"/>
              <w:rPr>
                <w:rFonts w:ascii="宋体" w:hAnsi="宋体" w:cs="宋体"/>
                <w:color w:val="000000"/>
                <w:szCs w:val="21"/>
              </w:rPr>
            </w:pPr>
            <w:r>
              <w:rPr>
                <w:rFonts w:hint="eastAsia" w:ascii="宋体" w:hAnsi="宋体" w:cs="宋体"/>
                <w:color w:val="000000"/>
                <w:szCs w:val="21"/>
              </w:rPr>
              <w:t>公司以采购计划单的形式向供方及相关人员发送采购信息，该单由总经理张勤批准后实施采购。查2019年4月以来采购计划单，该单包括：供方、物资名称、规格型号、数量、金额、质量要求等。抽查2019-11-6采购壳体1件、2019-11-9采购断路器1个、2019-11-10采购熔断器27个等均向合格供方采购，均有采购协议，采购计划及、流程审批手续齐全，信息完整。</w:t>
            </w:r>
          </w:p>
          <w:p>
            <w:pPr>
              <w:spacing w:line="280" w:lineRule="exact"/>
              <w:ind w:firstLine="420" w:firstLineChars="200"/>
              <w:rPr>
                <w:szCs w:val="21"/>
              </w:rPr>
            </w:pPr>
            <w:r>
              <w:rPr>
                <w:rFonts w:hint="eastAsia" w:ascii="宋体" w:hAnsi="宋体" w:cs="宋体"/>
                <w:color w:val="000000"/>
                <w:szCs w:val="21"/>
              </w:rPr>
              <w:t>在采购控制程序中已规定了采购产品验证的方式，并且应在采购验证的要求中得到规定，在本公司检验或在顾客处进行检验情况，具体详见审核该部门8.6条款记录。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80" w:lineRule="exact"/>
              <w:rPr>
                <w:color w:val="000000"/>
                <w:szCs w:val="21"/>
              </w:rPr>
            </w:pPr>
            <w:r>
              <w:rPr>
                <w:rFonts w:hint="eastAsia"/>
                <w:color w:val="000000"/>
                <w:szCs w:val="21"/>
              </w:rPr>
              <w:t>产品和服务的要求</w:t>
            </w:r>
          </w:p>
          <w:p>
            <w:pPr>
              <w:spacing w:line="280" w:lineRule="exact"/>
              <w:rPr>
                <w:rFonts w:ascii="宋体" w:hAnsi="宋体" w:cs="宋体"/>
                <w:szCs w:val="21"/>
              </w:rPr>
            </w:pPr>
          </w:p>
        </w:tc>
        <w:tc>
          <w:tcPr>
            <w:tcW w:w="960" w:type="dxa"/>
          </w:tcPr>
          <w:p>
            <w:pPr>
              <w:spacing w:line="280" w:lineRule="exact"/>
              <w:rPr>
                <w:color w:val="000000"/>
                <w:szCs w:val="21"/>
              </w:rPr>
            </w:pPr>
            <w:r>
              <w:rPr>
                <w:rFonts w:hint="eastAsia"/>
                <w:color w:val="000000"/>
                <w:szCs w:val="21"/>
              </w:rPr>
              <w:t>Q</w:t>
            </w:r>
            <w:r>
              <w:rPr>
                <w:color w:val="000000"/>
                <w:szCs w:val="21"/>
              </w:rPr>
              <w:t>8.2</w:t>
            </w:r>
          </w:p>
          <w:p>
            <w:pPr>
              <w:spacing w:line="280" w:lineRule="exact"/>
              <w:rPr>
                <w:rFonts w:ascii="宋体" w:hAnsi="宋体" w:cs="宋体"/>
                <w:szCs w:val="21"/>
              </w:rPr>
            </w:pPr>
          </w:p>
        </w:tc>
        <w:tc>
          <w:tcPr>
            <w:tcW w:w="10738" w:type="dxa"/>
          </w:tcPr>
          <w:p>
            <w:pPr>
              <w:spacing w:line="280" w:lineRule="exact"/>
              <w:ind w:firstLine="420" w:firstLineChars="200"/>
              <w:rPr>
                <w:color w:val="000000"/>
                <w:szCs w:val="21"/>
              </w:rPr>
            </w:pPr>
            <w:r>
              <w:rPr>
                <w:rFonts w:hint="eastAsia"/>
                <w:color w:val="000000"/>
                <w:szCs w:val="21"/>
              </w:rPr>
              <w:t>综合部通过和客户电话联系、上门回访、邮箱联系等方式进行服务宣传，向顾客介绍服务，回答顾客的咨询，让顾客了解公司及服务情况。市场部负责就合同或订单的处理，合同的评审，向顾客提供符合要求的服务。每年向顾客发放满意度调查表或微信等网络形式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制造服务本身的质量要求也包括后续活动的要求。顾客没有明确规定，但预期或规定用途所必要的要求。与资质范围内电力设施的承修、承装、承试及相关服务；资质范围内10KV高压开关柜、分支箱、变压器、低压抽出式开关设备、箱式变电站、低压无功补偿装置的制造及相关服务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资质范围内电力设施的承修、承装、承试及相关服务；资质范围内10KV高压开关柜、分支箱、变压器、低压抽出式开关设备、箱式变电站、低压无功补偿装置的制造及相关服务要求等给予了明确。</w:t>
            </w:r>
          </w:p>
          <w:p>
            <w:pPr>
              <w:spacing w:line="280" w:lineRule="exact"/>
              <w:ind w:firstLine="420" w:firstLineChars="200"/>
              <w:rPr>
                <w:color w:val="000000"/>
                <w:szCs w:val="21"/>
              </w:rPr>
            </w:pPr>
            <w:r>
              <w:rPr>
                <w:rFonts w:hint="eastAsia"/>
                <w:color w:val="000000"/>
                <w:szCs w:val="21"/>
              </w:rPr>
              <w:t>公司资质范围内电力设施的承修、承装、承试及相关服务；资质范围内10KV高压开关柜、分支箱、变压器、低压抽出式开关设备、箱式变电站、低压无功补偿装置的制造及相关服务服务基本已成熟，市场部部长审核后直接在合同上签字即完成合同评审，特殊合同需相关部门人员一起评审，评审过程记录在《产品要求评审表》上。目前承接的合同都是常规合同。</w:t>
            </w:r>
          </w:p>
          <w:p>
            <w:pPr>
              <w:spacing w:line="280" w:lineRule="exact"/>
              <w:ind w:firstLine="420" w:firstLineChars="200"/>
              <w:rPr>
                <w:color w:val="000000"/>
                <w:szCs w:val="21"/>
              </w:rPr>
            </w:pPr>
            <w:r>
              <w:rPr>
                <w:rFonts w:hint="eastAsia"/>
                <w:color w:val="000000"/>
                <w:szCs w:val="21"/>
              </w:rPr>
              <w:t>公司顾客主要赤峰承远机电工程有限公司、国网内蒙古东部电力有限公司赤峰供电公司等顾客。</w:t>
            </w:r>
          </w:p>
          <w:p>
            <w:pPr>
              <w:spacing w:line="280" w:lineRule="exact"/>
              <w:ind w:firstLine="420" w:firstLineChars="200"/>
              <w:rPr>
                <w:rFonts w:hint="eastAsia"/>
                <w:color w:val="000000"/>
                <w:szCs w:val="21"/>
              </w:rPr>
            </w:pPr>
            <w:r>
              <w:rPr>
                <w:rFonts w:hint="eastAsia"/>
                <w:color w:val="000000"/>
                <w:szCs w:val="21"/>
              </w:rPr>
              <w:t>抽查：</w:t>
            </w:r>
          </w:p>
          <w:p>
            <w:pPr>
              <w:spacing w:line="280" w:lineRule="exact"/>
              <w:ind w:firstLine="420" w:firstLineChars="200"/>
              <w:rPr>
                <w:rFonts w:hint="eastAsia" w:eastAsia="宋体"/>
                <w:color w:val="000000"/>
                <w:szCs w:val="21"/>
                <w:lang w:eastAsia="zh-CN"/>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r>
              <w:rPr>
                <w:rFonts w:hint="eastAsia" w:eastAsia="宋体"/>
                <w:color w:val="000000"/>
                <w:szCs w:val="21"/>
                <w:lang w:eastAsia="zh-CN"/>
              </w:rPr>
              <w:drawing>
                <wp:anchor distT="0" distB="0" distL="114300" distR="114300" simplePos="0" relativeHeight="251658240" behindDoc="0" locked="0" layoutInCell="1" allowOverlap="1">
                  <wp:simplePos x="0" y="0"/>
                  <wp:positionH relativeFrom="column">
                    <wp:posOffset>343535</wp:posOffset>
                  </wp:positionH>
                  <wp:positionV relativeFrom="paragraph">
                    <wp:posOffset>24765</wp:posOffset>
                  </wp:positionV>
                  <wp:extent cx="5901055" cy="3828415"/>
                  <wp:effectExtent l="0" t="0" r="4445" b="635"/>
                  <wp:wrapNone/>
                  <wp:docPr id="2" name="图片 2" descr="1606744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6744463(1)"/>
                          <pic:cNvPicPr>
                            <a:picLocks noChangeAspect="1"/>
                          </pic:cNvPicPr>
                        </pic:nvPicPr>
                        <pic:blipFill>
                          <a:blip r:embed="rId6"/>
                          <a:stretch>
                            <a:fillRect/>
                          </a:stretch>
                        </pic:blipFill>
                        <pic:spPr>
                          <a:xfrm>
                            <a:off x="0" y="0"/>
                            <a:ext cx="5901055" cy="3828415"/>
                          </a:xfrm>
                          <a:prstGeom prst="rect">
                            <a:avLst/>
                          </a:prstGeom>
                        </pic:spPr>
                      </pic:pic>
                    </a:graphicData>
                  </a:graphic>
                </wp:anchor>
              </w:drawing>
            </w: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color w:val="000000"/>
                <w:szCs w:val="21"/>
              </w:rPr>
            </w:pPr>
          </w:p>
          <w:p>
            <w:pPr>
              <w:spacing w:line="280" w:lineRule="exact"/>
              <w:ind w:firstLine="420" w:firstLineChars="200"/>
              <w:rPr>
                <w:rFonts w:hint="eastAsia" w:eastAsia="宋体"/>
                <w:color w:val="000000"/>
                <w:szCs w:val="21"/>
                <w:lang w:eastAsia="zh-CN"/>
              </w:rPr>
            </w:pPr>
            <w:r>
              <w:rPr>
                <w:rFonts w:hint="eastAsia" w:eastAsia="宋体"/>
                <w:color w:val="000000"/>
                <w:szCs w:val="21"/>
                <w:lang w:eastAsia="zh-CN"/>
              </w:rPr>
              <w:drawing>
                <wp:anchor distT="0" distB="0" distL="114300" distR="114300" simplePos="0" relativeHeight="251659264" behindDoc="0" locked="0" layoutInCell="1" allowOverlap="1">
                  <wp:simplePos x="0" y="0"/>
                  <wp:positionH relativeFrom="column">
                    <wp:posOffset>504825</wp:posOffset>
                  </wp:positionH>
                  <wp:positionV relativeFrom="paragraph">
                    <wp:posOffset>136525</wp:posOffset>
                  </wp:positionV>
                  <wp:extent cx="5880735" cy="2083435"/>
                  <wp:effectExtent l="0" t="0" r="5715" b="12065"/>
                  <wp:wrapNone/>
                  <wp:docPr id="3" name="图片 3" descr="1606744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6744664(1)"/>
                          <pic:cNvPicPr>
                            <a:picLocks noChangeAspect="1"/>
                          </pic:cNvPicPr>
                        </pic:nvPicPr>
                        <pic:blipFill>
                          <a:blip r:embed="rId7"/>
                          <a:stretch>
                            <a:fillRect/>
                          </a:stretch>
                        </pic:blipFill>
                        <pic:spPr>
                          <a:xfrm>
                            <a:off x="0" y="0"/>
                            <a:ext cx="5880735" cy="2083435"/>
                          </a:xfrm>
                          <a:prstGeom prst="rect">
                            <a:avLst/>
                          </a:prstGeom>
                        </pic:spPr>
                      </pic:pic>
                    </a:graphicData>
                  </a:graphic>
                </wp:anchor>
              </w:drawing>
            </w: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color w:val="000000"/>
                <w:szCs w:val="21"/>
                <w:lang w:eastAsia="zh-CN"/>
              </w:rPr>
            </w:pPr>
          </w:p>
          <w:p>
            <w:pPr>
              <w:spacing w:line="280" w:lineRule="exact"/>
              <w:rPr>
                <w:rFonts w:hint="eastAsia" w:eastAsia="宋体"/>
                <w:color w:val="000000"/>
                <w:szCs w:val="21"/>
                <w:lang w:eastAsia="zh-CN"/>
              </w:rPr>
            </w:pPr>
            <w:r>
              <w:rPr>
                <w:rFonts w:hint="eastAsia"/>
                <w:color w:val="000000"/>
                <w:szCs w:val="21"/>
                <w:lang w:eastAsia="zh-CN"/>
              </w:rPr>
              <w:t>、</w:t>
            </w:r>
          </w:p>
          <w:p>
            <w:pPr>
              <w:spacing w:line="280" w:lineRule="exact"/>
              <w:ind w:firstLine="420" w:firstLineChars="200"/>
              <w:rPr>
                <w:color w:val="FF0000"/>
                <w:szCs w:val="21"/>
              </w:rPr>
            </w:pPr>
            <w:r>
              <w:rPr>
                <w:rFonts w:hint="eastAsia"/>
                <w:color w:val="FF0000"/>
                <w:szCs w:val="21"/>
              </w:rPr>
              <w:t>1、2019-10-7与赤峰承远机电工程有限公司签订销售高压开关柜、高压分支箱、干式变压器各1件合同，交付时间：2019-12-4，合同规定了采购清单、质量检验、交付时间、付款方式、违约责任等条款，要求明确，协议评审时间2019-10-7，审核张梦婷，审批张勤。</w:t>
            </w:r>
          </w:p>
          <w:p>
            <w:pPr>
              <w:spacing w:line="280" w:lineRule="exact"/>
              <w:ind w:firstLine="420" w:firstLineChars="200"/>
              <w:rPr>
                <w:color w:val="FF0000"/>
                <w:szCs w:val="21"/>
              </w:rPr>
            </w:pPr>
            <w:r>
              <w:rPr>
                <w:rFonts w:hint="eastAsia"/>
                <w:color w:val="FF0000"/>
                <w:szCs w:val="21"/>
              </w:rPr>
              <w:t>2、2019-12-30与赤峰承远机电工程有限公司签订销售箱式变电站、低压无功补偿装置各1件合同，交付时间：2019-1-24，合同规定了采购清单、质量检验、交付时间、付款方式、违约责任等条款，要求明确，协议评审时间2019-12-30，审核张梦婷，审批张勤。</w:t>
            </w:r>
          </w:p>
          <w:p>
            <w:pPr>
              <w:spacing w:line="280" w:lineRule="exact"/>
              <w:ind w:firstLine="420" w:firstLineChars="200"/>
              <w:rPr>
                <w:color w:val="FF0000"/>
                <w:szCs w:val="21"/>
              </w:rPr>
            </w:pPr>
            <w:r>
              <w:rPr>
                <w:rFonts w:hint="eastAsia"/>
                <w:color w:val="FF0000"/>
                <w:szCs w:val="21"/>
              </w:rPr>
              <w:t>3、2019-1-9与赤峰承远机电工程有限公司签订销售低压抽出式开关设备1件，交付时间：2019-1-28，合同规定了采购清单、质量检验、交付时间、付款方式、违约责任等条款，要求明确，协议评审时间2019-1-9，审核张梦婷，审批张勤。</w:t>
            </w:r>
          </w:p>
          <w:p>
            <w:pPr>
              <w:spacing w:line="280" w:lineRule="exact"/>
              <w:ind w:firstLine="420" w:firstLineChars="200"/>
              <w:rPr>
                <w:color w:val="FF0000"/>
                <w:szCs w:val="21"/>
              </w:rPr>
            </w:pPr>
            <w:r>
              <w:rPr>
                <w:rFonts w:hint="eastAsia"/>
                <w:color w:val="FF0000"/>
                <w:szCs w:val="21"/>
              </w:rPr>
              <w:t>4、2019-6-15与国网内蒙古东部电力有限公司赤峰供电公司签订国网蒙东赤峰敖汉旗供电公司10KV下洼线103号下洼村二组配变维修项目，交付时间：2019-2-25，合同规定了采购清单、质量检验、交付时间、付款方式、违约责任等条款，要求明确，合同评审时间2019-6-15，审核张梦婷，审批张勤。</w:t>
            </w:r>
          </w:p>
          <w:p>
            <w:pPr>
              <w:spacing w:line="280" w:lineRule="exact"/>
              <w:ind w:firstLine="420" w:firstLineChars="200"/>
              <w:rPr>
                <w:color w:val="FF0000"/>
                <w:szCs w:val="21"/>
              </w:rPr>
            </w:pPr>
            <w:r>
              <w:rPr>
                <w:rFonts w:hint="eastAsia"/>
                <w:color w:val="FF0000"/>
                <w:szCs w:val="21"/>
              </w:rPr>
              <w:t>以上合同均已实施。</w:t>
            </w:r>
          </w:p>
          <w:p>
            <w:pPr>
              <w:spacing w:line="280" w:lineRule="exact"/>
              <w:ind w:firstLine="420" w:firstLineChars="200"/>
              <w:rPr>
                <w:color w:val="000000"/>
                <w:szCs w:val="21"/>
              </w:rPr>
            </w:pPr>
            <w:r>
              <w:rPr>
                <w:rFonts w:hint="eastAsia"/>
                <w:color w:val="000000"/>
                <w:szCs w:val="21"/>
              </w:rPr>
              <w:t>与顾客的沟通由市场部负责，方法：通过手机、传真、微信等直接与固定客户保持日常联系，其内容包括：特殊要求、价格、后续服务等。</w:t>
            </w:r>
          </w:p>
          <w:p>
            <w:pPr>
              <w:spacing w:line="280" w:lineRule="exact"/>
              <w:ind w:firstLine="421"/>
              <w:rPr>
                <w:szCs w:val="21"/>
              </w:rPr>
            </w:pPr>
            <w:r>
              <w:rPr>
                <w:rFonts w:hint="eastAsia"/>
                <w:color w:val="000000"/>
                <w:szCs w:val="21"/>
              </w:rPr>
              <w:t>公司暂无合同变更情况发生。</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280" w:lineRule="exact"/>
              <w:rPr>
                <w:rFonts w:ascii="宋体" w:hAnsi="宋体" w:cs="宋体"/>
                <w:szCs w:val="21"/>
              </w:rPr>
            </w:pPr>
            <w:r>
              <w:rPr>
                <w:rFonts w:hint="eastAsia" w:ascii="宋体" w:hAnsi="宋体" w:cs="宋体"/>
                <w:color w:val="000000"/>
                <w:szCs w:val="21"/>
              </w:rPr>
              <w:t>顾客或外供方财产</w:t>
            </w:r>
          </w:p>
        </w:tc>
        <w:tc>
          <w:tcPr>
            <w:tcW w:w="960" w:type="dxa"/>
          </w:tcPr>
          <w:p>
            <w:pPr>
              <w:spacing w:line="280" w:lineRule="exact"/>
              <w:rPr>
                <w:rFonts w:ascii="宋体" w:hAnsi="宋体" w:cs="宋体"/>
                <w:color w:val="000000"/>
                <w:szCs w:val="21"/>
              </w:rPr>
            </w:pPr>
            <w:r>
              <w:rPr>
                <w:rFonts w:hint="eastAsia" w:ascii="宋体" w:hAnsi="宋体" w:cs="宋体"/>
                <w:color w:val="000000"/>
                <w:szCs w:val="21"/>
              </w:rPr>
              <w:t>Q8.5.3</w:t>
            </w:r>
          </w:p>
          <w:p>
            <w:pPr>
              <w:spacing w:line="280" w:lineRule="exact"/>
              <w:rPr>
                <w:rFonts w:ascii="宋体" w:hAnsi="宋体" w:cs="宋体"/>
                <w:szCs w:val="21"/>
              </w:rPr>
            </w:pPr>
          </w:p>
        </w:tc>
        <w:tc>
          <w:tcPr>
            <w:tcW w:w="10738" w:type="dxa"/>
          </w:tcPr>
          <w:p>
            <w:pPr>
              <w:spacing w:line="280" w:lineRule="exact"/>
              <w:ind w:firstLine="420" w:firstLineChars="200"/>
              <w:rPr>
                <w:szCs w:val="21"/>
              </w:rPr>
            </w:pPr>
            <w:r>
              <w:rPr>
                <w:rFonts w:hint="eastAsia" w:ascii="宋体" w:hAnsi="宋体" w:cs="宋体"/>
                <w:color w:val="000000"/>
                <w:szCs w:val="21"/>
              </w:rPr>
              <w:t>顾客或外部供方的财产包括：资质证明文件（如营业执照和其它资质文件）、银行账号、联系方式、经营地址及档案资料等信息，由部门专门人员负责管理，分类登记放置。未发生损坏丢失等现象。</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color w:val="000000"/>
                <w:szCs w:val="21"/>
              </w:rPr>
              <w:t>交付后活动</w:t>
            </w:r>
          </w:p>
        </w:tc>
        <w:tc>
          <w:tcPr>
            <w:tcW w:w="960" w:type="dxa"/>
          </w:tcPr>
          <w:p>
            <w:pPr>
              <w:spacing w:line="280" w:lineRule="exact"/>
              <w:rPr>
                <w:rFonts w:ascii="宋体" w:hAnsi="宋体" w:cs="宋体"/>
                <w:szCs w:val="21"/>
              </w:rPr>
            </w:pPr>
            <w:r>
              <w:rPr>
                <w:rFonts w:hint="eastAsia" w:ascii="宋体" w:hAnsi="宋体" w:cs="宋体"/>
                <w:color w:val="000000"/>
                <w:szCs w:val="21"/>
              </w:rPr>
              <w:t>Q8.5.5</w:t>
            </w:r>
          </w:p>
        </w:tc>
        <w:tc>
          <w:tcPr>
            <w:tcW w:w="10738" w:type="dxa"/>
          </w:tcPr>
          <w:p>
            <w:pPr>
              <w:spacing w:line="280" w:lineRule="exact"/>
              <w:ind w:firstLine="420" w:firstLineChars="200"/>
              <w:rPr>
                <w:szCs w:val="21"/>
              </w:rPr>
            </w:pPr>
            <w:r>
              <w:rPr>
                <w:rFonts w:hint="eastAsia"/>
                <w:color w:val="000000"/>
                <w:szCs w:val="21"/>
              </w:rPr>
              <w:t>产品交付时如客户在使用过程中出现问题，先通过电话进行解决，如远程无法解决，派专人到客户现场实地解决。</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color w:val="000000"/>
                <w:szCs w:val="21"/>
              </w:rPr>
            </w:pPr>
            <w:r>
              <w:rPr>
                <w:rFonts w:hint="eastAsia"/>
                <w:color w:val="000000"/>
                <w:szCs w:val="21"/>
              </w:rPr>
              <w:t>顾客满意</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color w:val="000000"/>
                <w:szCs w:val="21"/>
              </w:rPr>
              <w:t>Q9.1.2</w:t>
            </w:r>
          </w:p>
        </w:tc>
        <w:tc>
          <w:tcPr>
            <w:tcW w:w="10738" w:type="dxa"/>
          </w:tcPr>
          <w:p>
            <w:pPr>
              <w:spacing w:line="280" w:lineRule="exact"/>
              <w:ind w:firstLine="420" w:firstLineChars="200"/>
              <w:rPr>
                <w:color w:val="000000"/>
                <w:szCs w:val="21"/>
              </w:rPr>
            </w:pPr>
            <w:r>
              <w:rPr>
                <w:rFonts w:hint="eastAsia"/>
                <w:color w:val="000000"/>
                <w:szCs w:val="21"/>
              </w:rPr>
              <w:t>公司已建立和保持了《顾客满意度测定程序》，对顾客满意的监测的相关内容进行了规定，其包括了对调查方式、渠道、内容、频率等。</w:t>
            </w:r>
          </w:p>
          <w:p>
            <w:pPr>
              <w:spacing w:line="280" w:lineRule="exact"/>
              <w:ind w:firstLine="420" w:firstLineChars="200"/>
              <w:rPr>
                <w:color w:val="000000"/>
                <w:szCs w:val="21"/>
              </w:rPr>
            </w:pPr>
            <w:r>
              <w:rPr>
                <w:rFonts w:hint="eastAsia"/>
                <w:color w:val="000000"/>
                <w:szCs w:val="21"/>
              </w:rPr>
              <w:t>公司于内审前采取对主要顾客进行满意度调查的形式，共发出9份《顾客满意度调查表》，有效回收：</w:t>
            </w:r>
          </w:p>
          <w:p>
            <w:pPr>
              <w:spacing w:line="280" w:lineRule="exact"/>
              <w:ind w:firstLine="420" w:firstLineChars="200"/>
              <w:rPr>
                <w:color w:val="000000"/>
                <w:szCs w:val="21"/>
              </w:rPr>
            </w:pPr>
            <w:r>
              <w:rPr>
                <w:rFonts w:hint="eastAsia"/>
                <w:color w:val="000000"/>
                <w:szCs w:val="21"/>
              </w:rPr>
              <w:t>目前有赤峰承远机电工程有限公司、国网内蒙古东部电力有限公司赤峰供电公司2家，调查内容有：产品和服务质量、价格水平、服务态度等，查阅《顾客满意程度调查表》。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查《顾客满意程度调查表》，记录真实有效。</w:t>
            </w:r>
          </w:p>
          <w:p>
            <w:pPr>
              <w:spacing w:line="280" w:lineRule="exact"/>
              <w:ind w:firstLine="420" w:firstLineChars="200"/>
              <w:rPr>
                <w:color w:val="000000"/>
                <w:szCs w:val="21"/>
              </w:rPr>
            </w:pPr>
            <w:r>
              <w:rPr>
                <w:rFonts w:hint="eastAsia"/>
                <w:color w:val="000000"/>
                <w:szCs w:val="21"/>
              </w:rPr>
              <w:t>提供《顾客满意度统计分析表》，顾客满意率达到98%，达到了质量目标的要求。</w:t>
            </w:r>
          </w:p>
          <w:p>
            <w:pPr>
              <w:spacing w:line="280" w:lineRule="exact"/>
              <w:ind w:firstLine="420" w:firstLineChars="200"/>
              <w:rPr>
                <w:szCs w:val="21"/>
              </w:rPr>
            </w:pPr>
            <w:r>
              <w:rPr>
                <w:rFonts w:hint="eastAsia"/>
                <w:color w:val="000000"/>
                <w:szCs w:val="21"/>
              </w:rPr>
              <w:t>调查未发现有顾客投诉，不满意主要为价位偏高，公司根据市场同时加强管理降低成本适当降低售价，提高顾客满意度。</w:t>
            </w:r>
          </w:p>
        </w:tc>
        <w:tc>
          <w:tcPr>
            <w:tcW w:w="851" w:type="dxa"/>
          </w:tc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4461"/>
    <w:rsid w:val="00044BB9"/>
    <w:rsid w:val="000C1D66"/>
    <w:rsid w:val="00192D64"/>
    <w:rsid w:val="00201BD1"/>
    <w:rsid w:val="00215BE4"/>
    <w:rsid w:val="00265AE4"/>
    <w:rsid w:val="00311E14"/>
    <w:rsid w:val="003D5BDA"/>
    <w:rsid w:val="004328F6"/>
    <w:rsid w:val="00474461"/>
    <w:rsid w:val="0050348F"/>
    <w:rsid w:val="005D4837"/>
    <w:rsid w:val="005E238D"/>
    <w:rsid w:val="0060380C"/>
    <w:rsid w:val="006942B3"/>
    <w:rsid w:val="007B43AD"/>
    <w:rsid w:val="008844D0"/>
    <w:rsid w:val="009905DC"/>
    <w:rsid w:val="00AB4D77"/>
    <w:rsid w:val="00AF09C7"/>
    <w:rsid w:val="00B360FA"/>
    <w:rsid w:val="00D04BBE"/>
    <w:rsid w:val="07CA0F10"/>
    <w:rsid w:val="28AE060D"/>
    <w:rsid w:val="39C23826"/>
    <w:rsid w:val="467C49A4"/>
    <w:rsid w:val="5ED92FBE"/>
    <w:rsid w:val="6DF72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1347</Words>
  <Characters>7679</Characters>
  <Lines>63</Lines>
  <Paragraphs>18</Paragraphs>
  <TotalTime>2</TotalTime>
  <ScaleCrop>false</ScaleCrop>
  <LinksUpToDate>false</LinksUpToDate>
  <CharactersWithSpaces>9008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2020-04-17T12:06:00Z</dcterms:created>
  <dc:creator>微软用户</dc:creator>
  <cp:lastModifiedBy>李凤仪</cp:lastModifiedBy>
  <dcterms:modified xsi:type="dcterms:W3CDTF">2020-12-01T08:17:53Z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