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受审核部门：管理层  主管领导：</w:t>
            </w:r>
            <w:r>
              <w:rPr>
                <w:rFonts w:hint="eastAsia" w:ascii="楷体" w:hAnsi="楷体" w:eastAsia="楷体"/>
                <w:sz w:val="24"/>
                <w:szCs w:val="24"/>
                <w:lang w:val="en-US" w:eastAsia="zh-CN"/>
              </w:rPr>
              <w:t>胡华江、张利军</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龚丽萍</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w:t>
            </w:r>
            <w:r>
              <w:rPr>
                <w:rFonts w:ascii="楷体" w:hAnsi="楷体" w:eastAsia="楷体"/>
                <w:sz w:val="24"/>
                <w:szCs w:val="24"/>
              </w:rPr>
              <w:t xml:space="preserve">    </w:t>
            </w:r>
            <w:r>
              <w:rPr>
                <w:rFonts w:hint="eastAsia" w:ascii="楷体" w:hAnsi="楷体" w:eastAsia="楷体"/>
                <w:sz w:val="24"/>
                <w:szCs w:val="24"/>
              </w:rPr>
              <w:t>审核时间：</w:t>
            </w:r>
            <w:r>
              <w:rPr>
                <w:rFonts w:hint="eastAsia" w:ascii="楷体" w:hAnsi="楷体" w:eastAsia="楷体"/>
                <w:sz w:val="24"/>
                <w:szCs w:val="24"/>
                <w:lang w:val="en-US" w:eastAsia="zh-CN"/>
              </w:rPr>
              <w:t>2020.4.28</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ind w:right="105" w:rightChars="50"/>
              <w:jc w:val="left"/>
              <w:textAlignment w:val="baseline"/>
              <w:rPr>
                <w:rFonts w:ascii="楷体" w:hAnsi="楷体" w:eastAsia="楷体" w:cs="Arial"/>
                <w:spacing w:val="-6"/>
                <w:szCs w:val="21"/>
              </w:rPr>
            </w:pPr>
            <w:r>
              <w:rPr>
                <w:rFonts w:hint="eastAsia" w:ascii="楷体" w:hAnsi="楷体" w:eastAsia="楷体"/>
                <w:szCs w:val="21"/>
              </w:rPr>
              <w:t>审核条款：</w:t>
            </w:r>
            <w:r>
              <w:rPr>
                <w:rFonts w:ascii="楷体" w:hAnsi="楷体" w:eastAsia="楷体" w:cs="Arial"/>
                <w:spacing w:val="-6"/>
                <w:szCs w:val="21"/>
              </w:rPr>
              <w:t>QEO:4.1</w:t>
            </w:r>
            <w:r>
              <w:rPr>
                <w:rFonts w:hint="eastAsia" w:ascii="楷体" w:hAnsi="楷体" w:eastAsia="楷体" w:cs="Arial"/>
                <w:spacing w:val="-6"/>
                <w:szCs w:val="21"/>
              </w:rPr>
              <w:t>理解组织及其环境、</w:t>
            </w:r>
            <w:r>
              <w:rPr>
                <w:rFonts w:ascii="楷体" w:hAnsi="楷体" w:eastAsia="楷体" w:cs="Arial"/>
                <w:spacing w:val="-6"/>
                <w:szCs w:val="21"/>
              </w:rPr>
              <w:t>4.2</w:t>
            </w:r>
            <w:r>
              <w:rPr>
                <w:rFonts w:hint="eastAsia" w:ascii="楷体" w:hAnsi="楷体" w:eastAsia="楷体" w:cs="Arial"/>
                <w:spacing w:val="-6"/>
                <w:szCs w:val="21"/>
              </w:rPr>
              <w:t>理解相关方的需求和期望、</w:t>
            </w:r>
            <w:r>
              <w:rPr>
                <w:rFonts w:ascii="楷体" w:hAnsi="楷体" w:eastAsia="楷体" w:cs="Arial"/>
                <w:spacing w:val="-6"/>
                <w:szCs w:val="21"/>
              </w:rPr>
              <w:t xml:space="preserve">4.3 </w:t>
            </w:r>
            <w:r>
              <w:rPr>
                <w:rFonts w:hint="eastAsia" w:ascii="楷体" w:hAnsi="楷体" w:eastAsia="楷体" w:cs="Arial"/>
                <w:spacing w:val="-6"/>
                <w:szCs w:val="21"/>
              </w:rPr>
              <w:t>确定管理体系的范围、</w:t>
            </w:r>
            <w:r>
              <w:rPr>
                <w:rFonts w:ascii="楷体" w:hAnsi="楷体" w:eastAsia="楷体" w:cs="Arial"/>
                <w:spacing w:val="-6"/>
                <w:szCs w:val="21"/>
              </w:rPr>
              <w:t>4.4</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安全管理体系及其过程、</w:t>
            </w:r>
            <w:r>
              <w:rPr>
                <w:rFonts w:ascii="楷体" w:hAnsi="楷体" w:eastAsia="楷体" w:cs="Arial"/>
                <w:spacing w:val="-6"/>
                <w:szCs w:val="21"/>
              </w:rPr>
              <w:t>5.1</w:t>
            </w:r>
            <w:r>
              <w:rPr>
                <w:rFonts w:hint="eastAsia" w:ascii="楷体" w:hAnsi="楷体" w:eastAsia="楷体" w:cs="Arial"/>
                <w:spacing w:val="-6"/>
                <w:szCs w:val="21"/>
              </w:rPr>
              <w:t>领导作用和承诺、</w:t>
            </w:r>
            <w:r>
              <w:rPr>
                <w:rFonts w:ascii="楷体" w:hAnsi="楷体" w:eastAsia="楷体" w:cs="Arial"/>
                <w:spacing w:val="-6"/>
                <w:szCs w:val="21"/>
              </w:rPr>
              <w:t>5.2</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安全方针、</w:t>
            </w:r>
            <w:r>
              <w:rPr>
                <w:rFonts w:ascii="楷体" w:hAnsi="楷体" w:eastAsia="楷体" w:cs="Arial"/>
                <w:spacing w:val="-6"/>
                <w:szCs w:val="21"/>
              </w:rPr>
              <w:t>5.3</w:t>
            </w:r>
            <w:r>
              <w:rPr>
                <w:rFonts w:hint="eastAsia" w:ascii="楷体" w:hAnsi="楷体" w:eastAsia="楷体" w:cs="Arial"/>
                <w:spacing w:val="-6"/>
                <w:szCs w:val="21"/>
              </w:rPr>
              <w:t>组织的岗位、职责和权限、</w:t>
            </w:r>
            <w:r>
              <w:rPr>
                <w:rFonts w:ascii="楷体" w:hAnsi="楷体" w:eastAsia="楷体" w:cs="Arial"/>
                <w:spacing w:val="-6"/>
                <w:szCs w:val="21"/>
              </w:rPr>
              <w:t>O5.4</w:t>
            </w:r>
            <w:r>
              <w:rPr>
                <w:rFonts w:hint="eastAsia" w:ascii="楷体" w:hAnsi="楷体" w:eastAsia="楷体" w:cs="Arial"/>
                <w:spacing w:val="-6"/>
                <w:szCs w:val="21"/>
              </w:rPr>
              <w:t>协商与参与、</w:t>
            </w:r>
            <w:r>
              <w:rPr>
                <w:rFonts w:ascii="楷体" w:hAnsi="楷体" w:eastAsia="楷体" w:cs="Arial"/>
                <w:spacing w:val="-6"/>
                <w:szCs w:val="21"/>
              </w:rPr>
              <w:t>6.1</w:t>
            </w:r>
            <w:r>
              <w:rPr>
                <w:rFonts w:hint="eastAsia" w:ascii="楷体" w:hAnsi="楷体" w:eastAsia="楷体" w:cs="Arial"/>
                <w:spacing w:val="-6"/>
                <w:szCs w:val="21"/>
              </w:rPr>
              <w:t>应对风险和机遇的措施、</w:t>
            </w:r>
            <w:r>
              <w:rPr>
                <w:rFonts w:ascii="楷体" w:hAnsi="楷体" w:eastAsia="楷体" w:cs="Arial"/>
                <w:spacing w:val="-6"/>
                <w:szCs w:val="21"/>
              </w:rPr>
              <w:t>6.2</w:t>
            </w:r>
            <w:r>
              <w:rPr>
                <w:rFonts w:hint="eastAsia" w:ascii="楷体" w:hAnsi="楷体" w:eastAsia="楷体" w:cs="Arial"/>
                <w:spacing w:val="-6"/>
                <w:szCs w:val="21"/>
              </w:rPr>
              <w:t>质量</w:t>
            </w:r>
            <w:r>
              <w:rPr>
                <w:rFonts w:ascii="楷体" w:hAnsi="楷体" w:eastAsia="楷体" w:cs="Arial"/>
                <w:spacing w:val="-6"/>
                <w:szCs w:val="21"/>
              </w:rPr>
              <w:t>/</w:t>
            </w:r>
            <w:r>
              <w:rPr>
                <w:rFonts w:hint="eastAsia" w:ascii="楷体" w:hAnsi="楷体" w:eastAsia="楷体" w:cs="Arial"/>
                <w:spacing w:val="-6"/>
                <w:szCs w:val="21"/>
              </w:rPr>
              <w:t>环境</w:t>
            </w:r>
            <w:r>
              <w:rPr>
                <w:rFonts w:ascii="楷体" w:hAnsi="楷体" w:eastAsia="楷体" w:cs="Arial"/>
                <w:spacing w:val="-6"/>
                <w:szCs w:val="21"/>
              </w:rPr>
              <w:t>/</w:t>
            </w:r>
            <w:r>
              <w:rPr>
                <w:rFonts w:hint="eastAsia" w:ascii="楷体" w:hAnsi="楷体" w:eastAsia="楷体" w:cs="Arial"/>
                <w:szCs w:val="21"/>
              </w:rPr>
              <w:t>职业健康</w:t>
            </w:r>
            <w:r>
              <w:rPr>
                <w:rFonts w:hint="eastAsia" w:ascii="楷体" w:hAnsi="楷体" w:eastAsia="楷体" w:cs="Arial"/>
                <w:spacing w:val="-6"/>
                <w:szCs w:val="21"/>
              </w:rPr>
              <w:t>安全目标及其实现的策划、</w:t>
            </w:r>
            <w:r>
              <w:rPr>
                <w:rFonts w:ascii="楷体" w:hAnsi="楷体" w:eastAsia="楷体" w:cs="Arial"/>
                <w:spacing w:val="-6"/>
                <w:szCs w:val="21"/>
              </w:rPr>
              <w:t>Q6.3</w:t>
            </w:r>
            <w:r>
              <w:rPr>
                <w:rFonts w:hint="eastAsia" w:ascii="楷体" w:hAnsi="楷体" w:eastAsia="楷体" w:cs="Arial"/>
                <w:spacing w:val="-6"/>
                <w:szCs w:val="21"/>
              </w:rPr>
              <w:t>变更的策划、</w:t>
            </w:r>
            <w:r>
              <w:rPr>
                <w:rFonts w:ascii="楷体" w:hAnsi="楷体" w:eastAsia="楷体" w:cs="Arial"/>
                <w:spacing w:val="-6"/>
                <w:szCs w:val="21"/>
              </w:rPr>
              <w:t>9.3</w:t>
            </w:r>
            <w:r>
              <w:rPr>
                <w:rFonts w:hint="eastAsia" w:ascii="楷体" w:hAnsi="楷体" w:eastAsia="楷体" w:cs="Arial"/>
                <w:spacing w:val="-6"/>
                <w:szCs w:val="21"/>
              </w:rPr>
              <w:t>管理评审、</w:t>
            </w:r>
            <w:r>
              <w:rPr>
                <w:rFonts w:ascii="楷体" w:hAnsi="楷体" w:eastAsia="楷体" w:cs="Arial"/>
                <w:spacing w:val="-6"/>
                <w:szCs w:val="21"/>
              </w:rPr>
              <w:t>10.1</w:t>
            </w:r>
            <w:r>
              <w:rPr>
                <w:rFonts w:hint="eastAsia" w:ascii="楷体" w:hAnsi="楷体" w:eastAsia="楷体" w:cs="Arial"/>
                <w:spacing w:val="-6"/>
                <w:szCs w:val="21"/>
              </w:rPr>
              <w:t>改进、</w:t>
            </w:r>
            <w:r>
              <w:rPr>
                <w:rFonts w:ascii="楷体" w:hAnsi="楷体" w:eastAsia="楷体" w:cs="Arial"/>
                <w:spacing w:val="-6"/>
                <w:szCs w:val="21"/>
              </w:rPr>
              <w:t>10.3</w:t>
            </w:r>
            <w:r>
              <w:rPr>
                <w:rFonts w:hint="eastAsia" w:ascii="楷体" w:hAnsi="楷体" w:eastAsia="楷体" w:cs="Arial"/>
                <w:spacing w:val="-6"/>
                <w:szCs w:val="21"/>
              </w:rPr>
              <w:t>持续改进，国家</w:t>
            </w:r>
            <w:r>
              <w:rPr>
                <w:rFonts w:ascii="楷体" w:hAnsi="楷体" w:eastAsia="楷体" w:cs="Arial"/>
                <w:spacing w:val="-6"/>
                <w:szCs w:val="21"/>
              </w:rPr>
              <w:t>/</w:t>
            </w:r>
            <w:r>
              <w:rPr>
                <w:rFonts w:hint="eastAsia" w:ascii="楷体" w:hAnsi="楷体" w:eastAsia="楷体" w:cs="Arial"/>
                <w:spacing w:val="-6"/>
                <w:szCs w:val="21"/>
              </w:rPr>
              <w:t>地方监督抽查情况；顾客满意、相关方投诉及处理情况；</w:t>
            </w:r>
          </w:p>
          <w:p>
            <w:pPr>
              <w:rPr>
                <w:rFonts w:ascii="楷体" w:hAnsi="楷体" w:eastAsia="楷体"/>
                <w:szCs w:val="21"/>
              </w:rPr>
            </w:pPr>
            <w:r>
              <w:rPr>
                <w:rFonts w:hint="eastAsia" w:ascii="楷体" w:hAnsi="楷体" w:eastAsia="楷体" w:cs="Arial"/>
                <w:spacing w:val="-6"/>
                <w:szCs w:val="21"/>
              </w:rPr>
              <w:t>验证企业相关资质证明的有效性；</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企业基本信息</w:t>
            </w:r>
          </w:p>
        </w:tc>
        <w:tc>
          <w:tcPr>
            <w:tcW w:w="1311" w:type="dxa"/>
            <w:vAlign w:val="center"/>
          </w:tcPr>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面谈人员：最管理者</w:t>
            </w:r>
            <w:r>
              <w:rPr>
                <w:rFonts w:hint="eastAsia" w:ascii="楷体" w:hAnsi="楷体" w:eastAsia="楷体"/>
                <w:sz w:val="24"/>
                <w:szCs w:val="24"/>
                <w:lang w:eastAsia="zh-CN"/>
              </w:rPr>
              <w:t>：</w:t>
            </w:r>
            <w:r>
              <w:rPr>
                <w:rFonts w:hint="eastAsia" w:ascii="楷体" w:hAnsi="楷体" w:eastAsia="楷体"/>
                <w:sz w:val="24"/>
                <w:szCs w:val="24"/>
                <w:lang w:val="en-US" w:eastAsia="zh-CN"/>
              </w:rPr>
              <w:t>胡华江，</w:t>
            </w:r>
            <w:r>
              <w:rPr>
                <w:rFonts w:hint="eastAsia" w:ascii="楷体" w:hAnsi="楷体" w:eastAsia="楷体"/>
                <w:sz w:val="24"/>
                <w:szCs w:val="24"/>
              </w:rPr>
              <w:t>管代</w:t>
            </w:r>
            <w:r>
              <w:rPr>
                <w:rFonts w:hint="eastAsia" w:ascii="楷体" w:hAnsi="楷体" w:eastAsia="楷体"/>
                <w:sz w:val="24"/>
                <w:szCs w:val="24"/>
                <w:lang w:val="en-US" w:eastAsia="zh-CN"/>
              </w:rPr>
              <w:t>张利军</w:t>
            </w:r>
            <w:r>
              <w:rPr>
                <w:rFonts w:hint="eastAsia" w:ascii="楷体" w:hAnsi="楷体" w:eastAsia="楷体"/>
                <w:sz w:val="24"/>
                <w:szCs w:val="24"/>
              </w:rPr>
              <w:t xml:space="preserve">  ，</w:t>
            </w:r>
          </w:p>
          <w:p>
            <w:pPr>
              <w:rPr>
                <w:rFonts w:ascii="楷体" w:hAnsi="楷体" w:eastAsia="楷体"/>
                <w:spacing w:val="20"/>
                <w:sz w:val="24"/>
                <w:szCs w:val="24"/>
                <w:lang w:val="de-DE"/>
              </w:rPr>
            </w:pPr>
            <w:r>
              <w:rPr>
                <w:rFonts w:hint="eastAsia" w:ascii="楷体" w:hAnsi="楷体" w:eastAsia="楷体"/>
                <w:sz w:val="24"/>
                <w:szCs w:val="24"/>
              </w:rPr>
              <w:t>公司成立于</w:t>
            </w:r>
            <w:r>
              <w:rPr>
                <w:rFonts w:ascii="楷体" w:hAnsi="楷体" w:eastAsia="楷体"/>
                <w:sz w:val="24"/>
                <w:szCs w:val="24"/>
              </w:rPr>
              <w:t>2</w:t>
            </w:r>
            <w:r>
              <w:rPr>
                <w:rFonts w:hint="eastAsia" w:ascii="楷体" w:hAnsi="楷体" w:eastAsia="楷体"/>
                <w:sz w:val="24"/>
                <w:szCs w:val="24"/>
              </w:rPr>
              <w:t>0</w:t>
            </w:r>
            <w:r>
              <w:rPr>
                <w:rFonts w:hint="eastAsia" w:ascii="楷体" w:hAnsi="楷体" w:eastAsia="楷体"/>
                <w:sz w:val="24"/>
                <w:szCs w:val="24"/>
                <w:lang w:val="en-US" w:eastAsia="zh-CN"/>
              </w:rPr>
              <w:t>14</w:t>
            </w:r>
            <w:r>
              <w:rPr>
                <w:rFonts w:hint="eastAsia" w:ascii="楷体" w:hAnsi="楷体" w:eastAsia="楷体"/>
                <w:sz w:val="24"/>
                <w:szCs w:val="24"/>
              </w:rPr>
              <w:t>年</w:t>
            </w:r>
            <w:r>
              <w:rPr>
                <w:rFonts w:hint="eastAsia" w:ascii="楷体" w:hAnsi="楷体" w:eastAsia="楷体"/>
                <w:sz w:val="24"/>
                <w:szCs w:val="24"/>
                <w:lang w:val="en-US" w:eastAsia="zh-CN"/>
              </w:rPr>
              <w:t>2</w:t>
            </w:r>
            <w:r>
              <w:rPr>
                <w:rFonts w:hint="eastAsia" w:ascii="楷体" w:hAnsi="楷体" w:eastAsia="楷体"/>
                <w:sz w:val="24"/>
                <w:szCs w:val="24"/>
              </w:rPr>
              <w:t>月</w:t>
            </w:r>
            <w:r>
              <w:rPr>
                <w:rFonts w:hint="eastAsia" w:ascii="楷体" w:hAnsi="楷体" w:eastAsia="楷体"/>
                <w:sz w:val="24"/>
                <w:szCs w:val="24"/>
                <w:lang w:val="en-US" w:eastAsia="zh-CN"/>
              </w:rPr>
              <w:t>17</w:t>
            </w:r>
            <w:r>
              <w:rPr>
                <w:rFonts w:hint="eastAsia" w:ascii="楷体" w:hAnsi="楷体" w:eastAsia="楷体"/>
                <w:sz w:val="24"/>
                <w:szCs w:val="24"/>
              </w:rPr>
              <w:t>日，法人代表</w:t>
            </w:r>
            <w:r>
              <w:rPr>
                <w:rFonts w:hint="eastAsia" w:ascii="楷体" w:hAnsi="楷体" w:eastAsia="楷体"/>
                <w:sz w:val="24"/>
                <w:szCs w:val="24"/>
                <w:lang w:val="en-US" w:eastAsia="zh-CN"/>
              </w:rPr>
              <w:t>胡华江</w:t>
            </w:r>
            <w:r>
              <w:rPr>
                <w:rFonts w:hint="eastAsia" w:ascii="楷体" w:hAnsi="楷体" w:eastAsia="楷体"/>
                <w:sz w:val="24"/>
                <w:szCs w:val="24"/>
              </w:rPr>
              <w:t>，注册地址：</w:t>
            </w:r>
            <w:bookmarkStart w:id="0" w:name="生产地址"/>
            <w:r>
              <w:rPr>
                <w:rFonts w:hint="eastAsia" w:ascii="楷体" w:hAnsi="楷体" w:eastAsia="楷体" w:cs="楷体"/>
                <w:sz w:val="24"/>
                <w:szCs w:val="24"/>
              </w:rPr>
              <w:t>江西省樟树市</w:t>
            </w:r>
            <w:bookmarkEnd w:id="0"/>
            <w:r>
              <w:rPr>
                <w:rFonts w:hint="eastAsia" w:ascii="楷体" w:hAnsi="楷体" w:eastAsia="楷体" w:cs="楷体"/>
                <w:sz w:val="24"/>
                <w:szCs w:val="24"/>
                <w:lang w:val="en-US" w:eastAsia="zh-CN"/>
              </w:rPr>
              <w:t>观上工业园</w:t>
            </w:r>
            <w:r>
              <w:rPr>
                <w:rFonts w:hint="eastAsia" w:ascii="楷体" w:hAnsi="楷体" w:eastAsia="楷体" w:cs="楷体"/>
                <w:color w:val="000000"/>
                <w:sz w:val="24"/>
                <w:szCs w:val="24"/>
              </w:rPr>
              <w:t>。</w:t>
            </w:r>
            <w:r>
              <w:rPr>
                <w:rFonts w:hint="eastAsia" w:ascii="楷体" w:hAnsi="楷体" w:eastAsia="楷体"/>
                <w:spacing w:val="20"/>
                <w:sz w:val="24"/>
                <w:szCs w:val="24"/>
                <w:lang w:val="de-DE"/>
              </w:rPr>
              <w:t>经营范围</w:t>
            </w:r>
            <w:r>
              <w:rPr>
                <w:rFonts w:hint="eastAsia" w:ascii="楷体" w:hAnsi="楷体" w:eastAsia="楷体" w:cs="楷体"/>
                <w:sz w:val="24"/>
                <w:szCs w:val="24"/>
              </w:rPr>
              <w:t>资质范围内金库门、代保险箱、密集架、智能密集架、书架、枪支弹药一体专用保险柜、枪支弹药专用保险柜、重型货架、专用架体、的设计、生产、销售</w:t>
            </w:r>
          </w:p>
          <w:p>
            <w:pPr>
              <w:spacing w:line="360" w:lineRule="auto"/>
              <w:rPr>
                <w:rFonts w:ascii="楷体" w:hAnsi="楷体" w:eastAsia="楷体"/>
                <w:sz w:val="24"/>
                <w:szCs w:val="24"/>
              </w:rPr>
            </w:pPr>
            <w:r>
              <w:rPr>
                <w:rFonts w:hint="eastAsia" w:ascii="楷体" w:hAnsi="楷体" w:eastAsia="楷体"/>
                <w:spacing w:val="20"/>
                <w:sz w:val="24"/>
                <w:szCs w:val="24"/>
                <w:lang w:val="de-DE"/>
              </w:rPr>
              <w:t>查到了企业的营业执照，经营范围包括了认证范围内产品。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5.1</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据管代</w:t>
            </w:r>
            <w:r>
              <w:rPr>
                <w:rFonts w:hint="eastAsia" w:ascii="楷体" w:hAnsi="楷体" w:eastAsia="楷体"/>
                <w:sz w:val="24"/>
                <w:szCs w:val="24"/>
                <w:lang w:val="en-US" w:eastAsia="zh-CN"/>
              </w:rPr>
              <w:t>张利军</w:t>
            </w:r>
            <w:r>
              <w:rPr>
                <w:rFonts w:hint="eastAsia" w:ascii="楷体" w:hAnsi="楷体" w:eastAsia="楷体"/>
                <w:sz w:val="24"/>
                <w:szCs w:val="24"/>
              </w:rPr>
              <w:t>介绍，公司管理体系运行已满</w:t>
            </w:r>
            <w:r>
              <w:rPr>
                <w:rFonts w:hint="eastAsia" w:ascii="楷体" w:hAnsi="楷体" w:eastAsia="楷体"/>
                <w:sz w:val="24"/>
                <w:szCs w:val="24"/>
                <w:lang w:val="en-US" w:eastAsia="zh-CN"/>
              </w:rPr>
              <w:t>5</w:t>
            </w:r>
            <w:r>
              <w:rPr>
                <w:rFonts w:hint="eastAsia" w:ascii="楷体" w:hAnsi="楷体" w:eastAsia="楷体"/>
                <w:sz w:val="24"/>
                <w:szCs w:val="24"/>
              </w:rPr>
              <w:t>个多月。对部门及其职责进行了规定，设有行政部、</w:t>
            </w:r>
            <w:r>
              <w:rPr>
                <w:rFonts w:hint="eastAsia" w:ascii="楷体" w:hAnsi="楷体" w:eastAsia="楷体"/>
                <w:sz w:val="24"/>
                <w:szCs w:val="24"/>
                <w:lang w:val="en-US" w:eastAsia="zh-CN"/>
              </w:rPr>
              <w:t>供销</w:t>
            </w:r>
            <w:r>
              <w:rPr>
                <w:rFonts w:hint="eastAsia" w:ascii="楷体" w:hAnsi="楷体" w:eastAsia="楷体"/>
                <w:sz w:val="24"/>
                <w:szCs w:val="24"/>
              </w:rPr>
              <w:t>部、生产部</w:t>
            </w:r>
            <w:r>
              <w:rPr>
                <w:rFonts w:hint="eastAsia" w:ascii="楷体" w:hAnsi="楷体" w:eastAsia="楷体"/>
                <w:sz w:val="24"/>
                <w:szCs w:val="24"/>
                <w:lang w:eastAsia="zh-CN"/>
              </w:rPr>
              <w:t>、</w:t>
            </w:r>
            <w:r>
              <w:rPr>
                <w:rFonts w:hint="eastAsia" w:ascii="楷体" w:hAnsi="楷体" w:eastAsia="楷体"/>
                <w:sz w:val="24"/>
                <w:szCs w:val="24"/>
                <w:lang w:val="en-US" w:eastAsia="zh-CN"/>
              </w:rPr>
              <w:t>技术部、财务部</w:t>
            </w:r>
            <w:r>
              <w:rPr>
                <w:rFonts w:hint="eastAsia" w:ascii="楷体" w:hAnsi="楷体" w:eastAsia="楷体"/>
                <w:sz w:val="24"/>
                <w:szCs w:val="24"/>
              </w:rPr>
              <w:t>，编制了岗位职责汇编，以文件上发的形式沟通各部门的职责及各部门之间工作的联系。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胡华江</w:t>
            </w:r>
            <w:r>
              <w:rPr>
                <w:rFonts w:hint="eastAsia" w:ascii="楷体" w:hAnsi="楷体" w:eastAsia="楷体"/>
                <w:sz w:val="24"/>
                <w:szCs w:val="24"/>
              </w:rPr>
              <w:t>，主要负责公司全面工作，</w:t>
            </w:r>
            <w:r>
              <w:rPr>
                <w:rFonts w:hint="eastAsia" w:ascii="楷体" w:hAnsi="楷体" w:eastAsia="楷体"/>
                <w:color w:val="000000"/>
                <w:sz w:val="24"/>
                <w:szCs w:val="24"/>
              </w:rPr>
              <w:t>日常主要侧重于公司财务及市场工作，根据体系的要求，负责组织制定方针、目标，管理评审等工作；</w:t>
            </w:r>
            <w:r>
              <w:rPr>
                <w:rFonts w:hint="eastAsia" w:ascii="楷体" w:hAnsi="楷体" w:eastAsia="楷体"/>
                <w:sz w:val="24"/>
                <w:szCs w:val="24"/>
              </w:rPr>
              <w:t>确保本公司三体系所需的过程得到建立、实施和保持；在全公司范围内促进满足顾客要求意识、环境保护意识、职业健康安全意识的形成和提高；就体系有关事宜对外联系。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总经理主持建立了质量环境职业健康安全管理体系，对管理体系的运行和保持进行了适当的授权，提供了必需的资源，能履行其管理承诺。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组织从</w:t>
            </w:r>
            <w:r>
              <w:rPr>
                <w:rFonts w:ascii="楷体" w:hAnsi="楷体" w:eastAsia="楷体"/>
                <w:sz w:val="24"/>
                <w:szCs w:val="24"/>
              </w:rPr>
              <w:t>2019</w:t>
            </w:r>
            <w:r>
              <w:rPr>
                <w:rFonts w:hint="eastAsia" w:ascii="楷体" w:hAnsi="楷体" w:eastAsia="楷体"/>
                <w:sz w:val="24"/>
                <w:szCs w:val="24"/>
              </w:rPr>
              <w:t>年</w:t>
            </w:r>
            <w:r>
              <w:rPr>
                <w:rFonts w:hint="eastAsia" w:ascii="楷体" w:hAnsi="楷体" w:eastAsia="楷体"/>
                <w:sz w:val="24"/>
                <w:szCs w:val="24"/>
                <w:lang w:val="en-US" w:eastAsia="zh-CN"/>
              </w:rPr>
              <w:t>12</w:t>
            </w:r>
            <w:r>
              <w:rPr>
                <w:rFonts w:hint="eastAsia" w:ascii="楷体" w:hAnsi="楷体" w:eastAsia="楷体"/>
                <w:sz w:val="24"/>
                <w:szCs w:val="24"/>
              </w:rPr>
              <w:t>月开始运行三体系，组织了内审员培训，识别了生产的过程及其相互关系，企业提</w:t>
            </w:r>
            <w:r>
              <w:rPr>
                <w:rFonts w:hint="eastAsia" w:ascii="楷体" w:hAnsi="楷体" w:eastAsia="楷体"/>
                <w:sz w:val="24"/>
                <w:szCs w:val="24"/>
                <w:lang w:val="en-US" w:eastAsia="zh-CN"/>
              </w:rPr>
              <w:t>供</w:t>
            </w:r>
            <w:r>
              <w:rPr>
                <w:rFonts w:hint="eastAsia" w:ascii="楷体" w:hAnsi="楷体" w:eastAsia="楷体"/>
                <w:sz w:val="24"/>
                <w:szCs w:val="24"/>
              </w:rPr>
              <w:t>《管理手册》，依据</w:t>
            </w:r>
            <w:r>
              <w:rPr>
                <w:rFonts w:ascii="楷体" w:hAnsi="楷体" w:eastAsia="楷体"/>
                <w:sz w:val="24"/>
                <w:szCs w:val="24"/>
              </w:rPr>
              <w:t>GB/T19001-2016/ISO9001:2015</w:t>
            </w:r>
            <w:r>
              <w:rPr>
                <w:rFonts w:hint="eastAsia" w:ascii="楷体" w:hAnsi="楷体" w:eastAsia="楷体"/>
                <w:sz w:val="24"/>
                <w:szCs w:val="24"/>
              </w:rPr>
              <w:t>、</w:t>
            </w:r>
            <w:r>
              <w:rPr>
                <w:rFonts w:ascii="楷体" w:hAnsi="楷体" w:eastAsia="楷体"/>
                <w:sz w:val="24"/>
                <w:szCs w:val="24"/>
              </w:rPr>
              <w:t>GB/T24001-2016/IS014001:2015</w:t>
            </w:r>
            <w:r>
              <w:rPr>
                <w:rFonts w:hint="eastAsia" w:ascii="楷体" w:hAnsi="楷体" w:eastAsia="楷体"/>
                <w:sz w:val="24"/>
                <w:szCs w:val="24"/>
              </w:rPr>
              <w:t>、</w:t>
            </w:r>
            <w:r>
              <w:rPr>
                <w:rFonts w:ascii="楷体" w:hAnsi="楷体" w:eastAsia="楷体"/>
                <w:sz w:val="24"/>
                <w:szCs w:val="24"/>
              </w:rPr>
              <w:t>ISO45001:2018</w:t>
            </w:r>
            <w:r>
              <w:rPr>
                <w:rFonts w:hint="eastAsia" w:ascii="楷体" w:hAnsi="楷体" w:eastAsia="楷体"/>
                <w:sz w:val="24"/>
                <w:szCs w:val="24"/>
              </w:rPr>
              <w:t>标准。</w:t>
            </w:r>
            <w:r>
              <w:rPr>
                <w:rFonts w:ascii="楷体" w:hAnsi="楷体" w:eastAsia="楷体"/>
                <w:sz w:val="24"/>
                <w:szCs w:val="24"/>
              </w:rPr>
              <w:t>2019.</w:t>
            </w:r>
            <w:r>
              <w:rPr>
                <w:rFonts w:hint="eastAsia" w:ascii="楷体" w:hAnsi="楷体" w:eastAsia="楷体"/>
                <w:sz w:val="24"/>
                <w:szCs w:val="24"/>
                <w:lang w:val="en-US" w:eastAsia="zh-CN"/>
              </w:rPr>
              <w:t>12</w:t>
            </w:r>
            <w:r>
              <w:rPr>
                <w:rFonts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发布，</w:t>
            </w:r>
            <w:r>
              <w:rPr>
                <w:rFonts w:ascii="楷体" w:hAnsi="楷体" w:eastAsia="楷体"/>
                <w:sz w:val="24"/>
                <w:szCs w:val="24"/>
              </w:rPr>
              <w:t>2019.</w:t>
            </w:r>
            <w:r>
              <w:rPr>
                <w:rFonts w:hint="eastAsia" w:ascii="楷体" w:hAnsi="楷体" w:eastAsia="楷体"/>
                <w:sz w:val="24"/>
                <w:szCs w:val="24"/>
                <w:lang w:val="en-US" w:eastAsia="zh-CN"/>
              </w:rPr>
              <w:t>12</w:t>
            </w:r>
            <w:r>
              <w:rPr>
                <w:rFonts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实施；总经理</w:t>
            </w:r>
            <w:r>
              <w:rPr>
                <w:rFonts w:hint="eastAsia" w:ascii="楷体" w:hAnsi="楷体" w:eastAsia="楷体"/>
                <w:sz w:val="24"/>
                <w:szCs w:val="24"/>
                <w:lang w:val="en-US" w:eastAsia="zh-CN"/>
              </w:rPr>
              <w:t>胡华江</w:t>
            </w:r>
            <w:r>
              <w:rPr>
                <w:rFonts w:hint="eastAsia" w:ascii="楷体" w:hAnsi="楷体" w:eastAsia="楷体"/>
                <w:sz w:val="24"/>
                <w:szCs w:val="24"/>
              </w:rPr>
              <w:t>。任命管代：</w:t>
            </w:r>
            <w:r>
              <w:rPr>
                <w:rFonts w:hint="eastAsia" w:ascii="楷体" w:hAnsi="楷体" w:eastAsia="楷体"/>
                <w:sz w:val="24"/>
                <w:szCs w:val="24"/>
                <w:lang w:val="en-US" w:eastAsia="zh-CN"/>
              </w:rPr>
              <w:t>张利军</w:t>
            </w:r>
            <w:r>
              <w:rPr>
                <w:rFonts w:hint="eastAsia" w:ascii="楷体" w:hAnsi="楷体" w:eastAsia="楷体"/>
                <w:sz w:val="24"/>
                <w:szCs w:val="24"/>
              </w:rPr>
              <w:t>；职业健康安全事务代表：</w:t>
            </w:r>
            <w:r>
              <w:rPr>
                <w:rFonts w:hint="eastAsia" w:ascii="楷体" w:hAnsi="楷体" w:eastAsia="楷体"/>
                <w:sz w:val="24"/>
                <w:szCs w:val="24"/>
                <w:lang w:val="en-US" w:eastAsia="zh-CN"/>
              </w:rPr>
              <w:t>杨欢</w:t>
            </w:r>
            <w:r>
              <w:rPr>
                <w:rFonts w:hint="eastAsia" w:ascii="楷体" w:hAnsi="楷体" w:eastAsia="楷体"/>
                <w:sz w:val="24"/>
                <w:szCs w:val="24"/>
              </w:rPr>
              <w:t>，现有手册从发布实施以来已经运行</w:t>
            </w:r>
            <w:r>
              <w:rPr>
                <w:rFonts w:ascii="楷体" w:hAnsi="楷体" w:eastAsia="楷体"/>
                <w:sz w:val="24"/>
                <w:szCs w:val="24"/>
              </w:rPr>
              <w:t xml:space="preserve"> </w:t>
            </w:r>
            <w:r>
              <w:rPr>
                <w:rFonts w:hint="eastAsia" w:ascii="楷体" w:hAnsi="楷体" w:eastAsia="楷体"/>
                <w:sz w:val="24"/>
                <w:szCs w:val="24"/>
                <w:lang w:val="en-US" w:eastAsia="zh-CN"/>
              </w:rPr>
              <w:t>5</w:t>
            </w:r>
            <w:r>
              <w:rPr>
                <w:rFonts w:hint="eastAsia" w:ascii="楷体" w:hAnsi="楷体" w:eastAsia="楷体"/>
                <w:sz w:val="24"/>
                <w:szCs w:val="24"/>
              </w:rPr>
              <w:t>个月以上。</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理解组织及其环境</w:t>
            </w:r>
          </w:p>
        </w:tc>
        <w:tc>
          <w:tcPr>
            <w:tcW w:w="1311" w:type="dxa"/>
            <w:vAlign w:val="center"/>
          </w:tcPr>
          <w:p>
            <w:pPr>
              <w:spacing w:line="360" w:lineRule="auto"/>
              <w:rPr>
                <w:rFonts w:ascii="楷体" w:hAnsi="楷体" w:eastAsia="楷体"/>
                <w:b/>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4.1</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提供《管理手册》，对公司地理位置、国内市场地位、法律法规要求、公司内部文化观价值观、内外部环境变化等均作出描述。</w:t>
            </w:r>
            <w:r>
              <w:rPr>
                <w:rFonts w:ascii="楷体" w:hAnsi="楷体" w:eastAsia="楷体"/>
                <w:color w:val="000000"/>
                <w:sz w:val="24"/>
                <w:szCs w:val="24"/>
              </w:rPr>
              <w:t xml:space="preserve">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与总经理</w:t>
            </w:r>
            <w:r>
              <w:rPr>
                <w:rFonts w:hint="eastAsia" w:ascii="楷体" w:hAnsi="楷体" w:eastAsia="楷体"/>
                <w:sz w:val="24"/>
                <w:szCs w:val="24"/>
                <w:lang w:val="en-US" w:eastAsia="zh-CN"/>
              </w:rPr>
              <w:t>胡华江</w:t>
            </w:r>
            <w:r>
              <w:rPr>
                <w:rFonts w:hint="eastAsia" w:ascii="楷体" w:hAnsi="楷体" w:eastAsia="楷体"/>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b/>
                <w:sz w:val="24"/>
                <w:szCs w:val="24"/>
              </w:rPr>
            </w:pPr>
            <w:r>
              <w:rPr>
                <w:rFonts w:hint="eastAsia" w:ascii="楷体" w:hAnsi="楷体" w:eastAsia="楷体"/>
                <w:sz w:val="24"/>
                <w:szCs w:val="24"/>
              </w:rPr>
              <w:t>理解相关方的需求和期望</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4.2</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基本识别了与组织管理体系有关的相关方和要求</w:t>
            </w:r>
            <w:r>
              <w:rPr>
                <w:rFonts w:hint="eastAsia" w:ascii="楷体" w:hAnsi="楷体" w:eastAsia="楷体"/>
                <w:sz w:val="24"/>
                <w:szCs w:val="24"/>
                <w:lang w:val="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w:t>
            </w:r>
            <w:r>
              <w:rPr>
                <w:rFonts w:ascii="楷体" w:hAnsi="楷体" w:eastAsia="楷体"/>
                <w:sz w:val="24"/>
                <w:szCs w:val="24"/>
              </w:rPr>
              <w:t>/</w:t>
            </w:r>
            <w:r>
              <w:rPr>
                <w:rFonts w:hint="eastAsia" w:ascii="楷体" w:hAnsi="楷体" w:eastAsia="楷体"/>
                <w:sz w:val="24"/>
                <w:szCs w:val="24"/>
              </w:rPr>
              <w:t>职业健康安全管理体系的范围</w:t>
            </w:r>
          </w:p>
        </w:tc>
        <w:tc>
          <w:tcPr>
            <w:tcW w:w="1311" w:type="dxa"/>
            <w:vAlign w:val="center"/>
          </w:tcPr>
          <w:p>
            <w:pPr>
              <w:spacing w:line="360" w:lineRule="auto"/>
              <w:rPr>
                <w:rFonts w:ascii="楷体" w:hAnsi="楷体" w:eastAsia="楷体"/>
                <w:color w:val="000000"/>
                <w:sz w:val="24"/>
                <w:szCs w:val="24"/>
              </w:rPr>
            </w:pPr>
            <w:r>
              <w:rPr>
                <w:rFonts w:ascii="楷体" w:hAnsi="楷体" w:eastAsia="楷体"/>
                <w:color w:val="000000"/>
                <w:sz w:val="24"/>
                <w:szCs w:val="24"/>
              </w:rPr>
              <w:t>QEO</w:t>
            </w:r>
            <w:r>
              <w:rPr>
                <w:rFonts w:hint="eastAsia" w:ascii="楷体" w:hAnsi="楷体" w:eastAsia="楷体"/>
                <w:color w:val="000000"/>
                <w:sz w:val="24"/>
                <w:szCs w:val="24"/>
              </w:rPr>
              <w:t>：</w:t>
            </w:r>
            <w:r>
              <w:rPr>
                <w:rFonts w:ascii="楷体" w:hAnsi="楷体" w:eastAsia="楷体"/>
                <w:color w:val="000000"/>
                <w:sz w:val="24"/>
                <w:szCs w:val="24"/>
              </w:rPr>
              <w:t xml:space="preserve">4.3 </w:t>
            </w:r>
          </w:p>
        </w:tc>
        <w:tc>
          <w:tcPr>
            <w:tcW w:w="10004" w:type="dxa"/>
            <w:vAlign w:val="center"/>
          </w:tcPr>
          <w:p>
            <w:pPr>
              <w:spacing w:line="360" w:lineRule="auto"/>
              <w:jc w:val="left"/>
              <w:rPr>
                <w:rFonts w:ascii="楷体" w:hAnsi="楷体" w:eastAsia="楷体"/>
                <w:color w:val="000000"/>
                <w:sz w:val="24"/>
                <w:szCs w:val="24"/>
              </w:rPr>
            </w:pPr>
            <w:r>
              <w:rPr>
                <w:rFonts w:hint="eastAsia" w:ascii="楷体" w:hAnsi="楷体" w:eastAsia="楷体"/>
                <w:color w:val="000000"/>
                <w:sz w:val="24"/>
                <w:szCs w:val="24"/>
              </w:rPr>
              <w:t>经确认企业的管理体系范围是：</w:t>
            </w:r>
          </w:p>
          <w:p>
            <w:pPr>
              <w:rPr>
                <w:rFonts w:hint="eastAsia" w:ascii="楷体" w:hAnsi="楷体" w:eastAsia="楷体" w:cs="楷体"/>
                <w:sz w:val="24"/>
                <w:szCs w:val="24"/>
              </w:rPr>
            </w:pPr>
            <w:bookmarkStart w:id="1" w:name="审核范围"/>
            <w:r>
              <w:rPr>
                <w:rFonts w:hint="eastAsia" w:ascii="楷体" w:hAnsi="楷体" w:eastAsia="楷体" w:cs="楷体"/>
                <w:color w:val="000000"/>
                <w:sz w:val="24"/>
                <w:szCs w:val="24"/>
              </w:rPr>
              <w:t>Q：</w:t>
            </w:r>
            <w:r>
              <w:rPr>
                <w:rFonts w:hint="eastAsia" w:ascii="楷体" w:hAnsi="楷体" w:eastAsia="楷体" w:cs="楷体"/>
                <w:sz w:val="24"/>
                <w:szCs w:val="24"/>
              </w:rPr>
              <w:t>资质范围内金库门、代保险箱、密集架、智能密集架、书架、枪支弹药一体专用保险柜、枪支弹药专用保险柜、重型货架、专用架体的设计、生产、销售</w:t>
            </w:r>
          </w:p>
          <w:p>
            <w:pPr>
              <w:rPr>
                <w:rFonts w:hint="eastAsia" w:ascii="楷体" w:hAnsi="楷体" w:eastAsia="楷体" w:cs="楷体"/>
                <w:sz w:val="24"/>
                <w:szCs w:val="24"/>
              </w:rPr>
            </w:pPr>
            <w:r>
              <w:rPr>
                <w:rFonts w:hint="eastAsia" w:ascii="楷体" w:hAnsi="楷体" w:eastAsia="楷体" w:cs="楷体"/>
                <w:color w:val="000000"/>
                <w:sz w:val="24"/>
                <w:szCs w:val="24"/>
              </w:rPr>
              <w:t>E：</w:t>
            </w:r>
            <w:r>
              <w:rPr>
                <w:rFonts w:hint="eastAsia" w:ascii="楷体" w:hAnsi="楷体" w:eastAsia="楷体" w:cs="楷体"/>
                <w:sz w:val="24"/>
                <w:szCs w:val="24"/>
              </w:rPr>
              <w:t>资质范围内金库门、代保险箱、密集架、智能密集架、书架、枪支弹药一体专用保险柜、枪支弹药专用保险柜、重型货架、专用架体的设计、生产、销售及相关环境管理活动</w:t>
            </w:r>
          </w:p>
          <w:p>
            <w:pPr>
              <w:spacing w:line="360" w:lineRule="auto"/>
              <w:rPr>
                <w:rFonts w:hint="eastAsia" w:ascii="楷体" w:hAnsi="楷体" w:eastAsia="楷体" w:cs="楷体"/>
                <w:color w:val="000000"/>
                <w:sz w:val="24"/>
                <w:szCs w:val="24"/>
              </w:rPr>
            </w:pPr>
            <w:r>
              <w:rPr>
                <w:rFonts w:hint="eastAsia" w:ascii="楷体" w:hAnsi="楷体" w:eastAsia="楷体" w:cs="楷体"/>
                <w:color w:val="000000"/>
                <w:sz w:val="24"/>
                <w:szCs w:val="24"/>
              </w:rPr>
              <w:t>O：</w:t>
            </w:r>
            <w:bookmarkEnd w:id="1"/>
            <w:r>
              <w:rPr>
                <w:rFonts w:hint="eastAsia" w:ascii="楷体" w:hAnsi="楷体" w:eastAsia="楷体" w:cs="楷体"/>
                <w:sz w:val="24"/>
                <w:szCs w:val="24"/>
              </w:rPr>
              <w:t>资质范围内金库门、代保险箱、密集架、智能密集架、书架、枪支弹药一体专用保险柜、枪支弹药专用保险柜、重型货架、专用架体的设计、生产、销售及相关职业健康安全管理活动</w:t>
            </w:r>
          </w:p>
          <w:p>
            <w:pPr>
              <w:spacing w:line="360" w:lineRule="auto"/>
              <w:rPr>
                <w:rFonts w:hint="default" w:ascii="楷体" w:hAnsi="楷体" w:eastAsia="楷体" w:cs="楷体"/>
                <w:color w:val="FF0000"/>
                <w:sz w:val="24"/>
                <w:szCs w:val="24"/>
                <w:lang w:val="en-US" w:eastAsia="zh-CN"/>
              </w:rPr>
            </w:pPr>
            <w:r>
              <w:rPr>
                <w:rFonts w:hint="eastAsia" w:ascii="楷体" w:hAnsi="楷体" w:eastAsia="楷体" w:cs="楷体"/>
                <w:color w:val="auto"/>
                <w:sz w:val="24"/>
                <w:szCs w:val="24"/>
                <w:lang w:val="en-US" w:eastAsia="zh-CN"/>
              </w:rPr>
              <w:t>体系自运行以来范围没有变化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职业健康安全管理体系及其过程</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4.4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w:t>
            </w:r>
            <w:r>
              <w:rPr>
                <w:rFonts w:ascii="楷体" w:hAnsi="楷体" w:eastAsia="楷体"/>
                <w:sz w:val="24"/>
                <w:szCs w:val="24"/>
              </w:rPr>
              <w:t xml:space="preserve"> GB/T19001-2016 </w:t>
            </w:r>
            <w:r>
              <w:rPr>
                <w:rFonts w:hint="eastAsia" w:ascii="楷体" w:hAnsi="楷体" w:eastAsia="楷体"/>
                <w:sz w:val="24"/>
                <w:szCs w:val="24"/>
              </w:rPr>
              <w:t>和</w:t>
            </w:r>
            <w:r>
              <w:rPr>
                <w:rFonts w:ascii="楷体" w:hAnsi="楷体" w:eastAsia="楷体"/>
                <w:sz w:val="24"/>
                <w:szCs w:val="24"/>
              </w:rPr>
              <w:t xml:space="preserve"> GB/T24001-2016</w:t>
            </w:r>
            <w:r>
              <w:rPr>
                <w:rFonts w:hint="eastAsia" w:ascii="楷体" w:hAnsi="楷体" w:eastAsia="楷体"/>
                <w:sz w:val="24"/>
                <w:szCs w:val="24"/>
              </w:rPr>
              <w:t>、</w:t>
            </w:r>
            <w:r>
              <w:rPr>
                <w:rFonts w:ascii="楷体" w:hAnsi="楷体" w:eastAsia="楷体"/>
                <w:sz w:val="24"/>
                <w:szCs w:val="24"/>
              </w:rPr>
              <w:t xml:space="preserve">ISO45001:2018 </w:t>
            </w:r>
            <w:r>
              <w:rPr>
                <w:rFonts w:hint="eastAsia" w:ascii="楷体" w:hAnsi="楷体" w:eastAsia="楷体"/>
                <w:sz w:val="24"/>
                <w:szCs w:val="24"/>
              </w:rPr>
              <w:t>标准的要求识别了质量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职业健康安全管理所需的过程及相互作用，识别了质量和环境、职业健康安全管理体系涉及的各个过程：</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a) </w:t>
            </w:r>
            <w:r>
              <w:rPr>
                <w:rFonts w:hint="eastAsia" w:ascii="楷体" w:hAnsi="楷体" w:eastAsia="楷体"/>
                <w:sz w:val="24"/>
                <w:szCs w:val="24"/>
              </w:rPr>
              <w:t>确定这些过程所需的输入和期望的输出；</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b) </w:t>
            </w:r>
            <w:r>
              <w:rPr>
                <w:rFonts w:hint="eastAsia" w:ascii="楷体" w:hAnsi="楷体" w:eastAsia="楷体"/>
                <w:sz w:val="24"/>
                <w:szCs w:val="24"/>
              </w:rPr>
              <w:t>确定这些过程的顺序和相互作用；</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c) </w:t>
            </w:r>
            <w:r>
              <w:rPr>
                <w:rFonts w:hint="eastAsia" w:ascii="楷体" w:hAnsi="楷体" w:eastAsia="楷体"/>
                <w:sz w:val="24"/>
                <w:szCs w:val="24"/>
              </w:rPr>
              <w:t>建立了程序文件、管理制度、作业指导书、检验规程等明确了各个过程所需的准则和方法，并明确了目标。</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d) </w:t>
            </w:r>
            <w:r>
              <w:rPr>
                <w:rFonts w:hint="eastAsia" w:ascii="楷体" w:hAnsi="楷体" w:eastAsia="楷体"/>
                <w:sz w:val="24"/>
                <w:szCs w:val="24"/>
              </w:rPr>
              <w:t>规定了每个过程所需的资源；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e) </w:t>
            </w:r>
            <w:r>
              <w:rPr>
                <w:rFonts w:hint="eastAsia" w:ascii="楷体" w:hAnsi="楷体" w:eastAsia="楷体"/>
                <w:sz w:val="24"/>
                <w:szCs w:val="24"/>
              </w:rPr>
              <w:t>规定与这些过程相关的责任和权限；</w:t>
            </w:r>
          </w:p>
          <w:p>
            <w:pPr>
              <w:spacing w:line="360" w:lineRule="auto"/>
              <w:rPr>
                <w:rFonts w:ascii="楷体" w:hAnsi="楷体" w:eastAsia="楷体"/>
                <w:sz w:val="24"/>
                <w:szCs w:val="24"/>
              </w:rPr>
            </w:pPr>
            <w:r>
              <w:rPr>
                <w:rFonts w:hint="eastAsia" w:ascii="楷体" w:hAnsi="楷体" w:eastAsia="楷体"/>
                <w:sz w:val="24"/>
                <w:szCs w:val="24"/>
              </w:rPr>
              <w:t>　</w:t>
            </w:r>
            <w:r>
              <w:rPr>
                <w:rFonts w:ascii="楷体" w:hAnsi="楷体" w:eastAsia="楷体"/>
                <w:sz w:val="24"/>
                <w:szCs w:val="24"/>
              </w:rPr>
              <w:t xml:space="preserve">  f) </w:t>
            </w:r>
            <w:r>
              <w:rPr>
                <w:rFonts w:hint="eastAsia" w:ascii="楷体" w:hAnsi="楷体" w:eastAsia="楷体"/>
                <w:sz w:val="24"/>
                <w:szCs w:val="24"/>
              </w:rPr>
              <w:t>针对这些过程识别和确定了质量管理活动的风险、机会以及所需的措施；</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g) </w:t>
            </w:r>
            <w:r>
              <w:rPr>
                <w:rFonts w:hint="eastAsia" w:ascii="楷体" w:hAnsi="楷体" w:eastAsia="楷体"/>
                <w:sz w:val="24"/>
                <w:szCs w:val="24"/>
              </w:rPr>
              <w:t>对这些过程进行了评价，暂无所需的变更；</w:t>
            </w:r>
          </w:p>
          <w:p>
            <w:pPr>
              <w:spacing w:line="360" w:lineRule="auto"/>
              <w:ind w:firstLine="480" w:firstLineChars="200"/>
              <w:rPr>
                <w:rFonts w:ascii="楷体" w:hAnsi="楷体" w:eastAsia="楷体"/>
                <w:sz w:val="24"/>
                <w:szCs w:val="24"/>
              </w:rPr>
            </w:pPr>
            <w:r>
              <w:rPr>
                <w:rFonts w:ascii="楷体" w:hAnsi="楷体" w:eastAsia="楷体"/>
                <w:sz w:val="24"/>
                <w:szCs w:val="24"/>
              </w:rPr>
              <w:t xml:space="preserve">h) </w:t>
            </w:r>
            <w:r>
              <w:rPr>
                <w:rFonts w:hint="eastAsia" w:ascii="楷体" w:hAnsi="楷体" w:eastAsia="楷体"/>
                <w:sz w:val="24"/>
                <w:szCs w:val="24"/>
              </w:rPr>
              <w:t>公司通过绩效评价、内部审核、管理评审等以期对质量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职业健康安全管理管理体系得到改进。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公司按照标准建立了文件化的质量</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w:t>
            </w:r>
            <w:r>
              <w:rPr>
                <w:rFonts w:hint="eastAsia" w:ascii="楷体" w:hAnsi="楷体" w:eastAsia="楷体"/>
                <w:sz w:val="24"/>
                <w:szCs w:val="24"/>
              </w:rPr>
              <w:t>职业健康安全管理体系，编制了质量／环境</w:t>
            </w:r>
            <w:r>
              <w:rPr>
                <w:rFonts w:ascii="楷体" w:hAnsi="楷体" w:eastAsia="楷体"/>
                <w:sz w:val="24"/>
                <w:szCs w:val="24"/>
              </w:rPr>
              <w:t>/</w:t>
            </w:r>
            <w:r>
              <w:rPr>
                <w:rFonts w:hint="eastAsia" w:ascii="楷体" w:hAnsi="楷体" w:eastAsia="楷体"/>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5.2 </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企业已经制定质量、环境、安全方针，具体包含在《管理手册》，公司的质量、环境、职业健康安全方针是：</w:t>
            </w:r>
          </w:p>
          <w:p>
            <w:pPr>
              <w:spacing w:line="360" w:lineRule="auto"/>
              <w:rPr>
                <w:rFonts w:hint="eastAsia" w:ascii="楷体" w:hAnsi="楷体" w:eastAsia="楷体" w:cs="楷体"/>
                <w:spacing w:val="20"/>
                <w:sz w:val="24"/>
              </w:rPr>
            </w:pPr>
            <w:r>
              <w:rPr>
                <w:rFonts w:hint="eastAsia" w:ascii="楷体" w:hAnsi="楷体" w:eastAsia="楷体" w:cs="楷体"/>
                <w:spacing w:val="20"/>
                <w:sz w:val="24"/>
              </w:rPr>
              <w:t>质量至上、持续创新、诚实守信、顾客至上</w:t>
            </w:r>
          </w:p>
          <w:p>
            <w:pPr>
              <w:spacing w:line="360" w:lineRule="auto"/>
              <w:rPr>
                <w:rFonts w:ascii="楷体" w:hAnsi="楷体" w:eastAsia="楷体"/>
                <w:sz w:val="24"/>
                <w:szCs w:val="24"/>
              </w:rPr>
            </w:pPr>
            <w:r>
              <w:rPr>
                <w:rFonts w:hint="eastAsia" w:ascii="楷体" w:hAnsi="楷体" w:eastAsia="楷体"/>
                <w:sz w:val="24"/>
                <w:szCs w:val="24"/>
              </w:rPr>
              <w:t>查领导层参与制定管理体系方针的情况，是否熟悉组织的管理体系方针内容、含义：</w:t>
            </w:r>
          </w:p>
          <w:p>
            <w:pPr>
              <w:spacing w:line="360" w:lineRule="auto"/>
              <w:rPr>
                <w:rFonts w:ascii="楷体" w:hAnsi="楷体" w:eastAsia="楷体"/>
                <w:sz w:val="24"/>
                <w:szCs w:val="24"/>
              </w:rPr>
            </w:pPr>
            <w:r>
              <w:rPr>
                <w:rFonts w:hint="eastAsia" w:ascii="楷体" w:hAnsi="楷体" w:eastAsia="楷体"/>
                <w:sz w:val="24"/>
                <w:szCs w:val="24"/>
              </w:rPr>
              <w:t>总经理</w:t>
            </w:r>
            <w:r>
              <w:rPr>
                <w:rFonts w:hint="eastAsia" w:ascii="楷体" w:hAnsi="楷体" w:eastAsia="楷体"/>
                <w:sz w:val="24"/>
                <w:szCs w:val="24"/>
                <w:lang w:val="en-US" w:eastAsia="zh-CN"/>
              </w:rPr>
              <w:t>胡华江，管代张利军</w:t>
            </w:r>
            <w:r>
              <w:rPr>
                <w:rFonts w:hint="eastAsia" w:ascii="楷体" w:hAnsi="楷体" w:eastAsia="楷体"/>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组织的角色、职责和权限</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5.3  </w:t>
            </w:r>
          </w:p>
        </w:tc>
        <w:tc>
          <w:tcPr>
            <w:tcW w:w="10004"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6.1</w:t>
            </w:r>
          </w:p>
          <w:p>
            <w:pPr>
              <w:spacing w:line="360" w:lineRule="auto"/>
              <w:rPr>
                <w:rFonts w:ascii="楷体" w:hAnsi="楷体" w:eastAsia="楷体"/>
                <w:sz w:val="24"/>
                <w:szCs w:val="24"/>
              </w:rPr>
            </w:pPr>
            <w:r>
              <w:rPr>
                <w:rFonts w:ascii="楷体" w:hAnsi="楷体" w:eastAsia="楷体"/>
                <w:sz w:val="24"/>
                <w:szCs w:val="24"/>
              </w:rPr>
              <w:t>EO</w:t>
            </w:r>
            <w:r>
              <w:rPr>
                <w:rFonts w:hint="eastAsia" w:ascii="楷体" w:hAnsi="楷体" w:eastAsia="楷体"/>
                <w:sz w:val="24"/>
                <w:szCs w:val="24"/>
              </w:rPr>
              <w:t>：</w:t>
            </w:r>
            <w:r>
              <w:rPr>
                <w:rFonts w:ascii="楷体" w:hAnsi="楷体" w:eastAsia="楷体"/>
                <w:sz w:val="24"/>
                <w:szCs w:val="24"/>
              </w:rPr>
              <w:t xml:space="preserve"> 6.1.1</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6.2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一 、公司总质量目标：</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①产品出厂合格率100%；</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②顾客满意度95分以上;      、</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 </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二、公司总的职业健康安全目标/指标：</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①员工重大责任伤亡率为0；</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②职业病发病率为0；</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 </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三、环境目标/指标：</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①固体废弃物分类管理，处理率为100%；</w:t>
            </w:r>
          </w:p>
          <w:p>
            <w:pPr>
              <w:spacing w:line="220" w:lineRule="atLeast"/>
              <w:ind w:firstLine="480" w:firstLineChars="200"/>
              <w:jc w:val="left"/>
              <w:rPr>
                <w:rFonts w:hint="eastAsia" w:ascii="楷体" w:hAnsi="楷体" w:eastAsia="楷体"/>
                <w:color w:val="auto"/>
                <w:sz w:val="24"/>
                <w:szCs w:val="24"/>
              </w:rPr>
            </w:pPr>
            <w:r>
              <w:rPr>
                <w:rFonts w:hint="eastAsia" w:ascii="楷体" w:hAnsi="楷体" w:eastAsia="楷体"/>
                <w:color w:val="auto"/>
                <w:sz w:val="24"/>
                <w:szCs w:val="24"/>
              </w:rPr>
              <w:t>②重大火灾事故为0；</w:t>
            </w:r>
          </w:p>
          <w:p>
            <w:pPr>
              <w:spacing w:line="220" w:lineRule="atLeast"/>
              <w:ind w:firstLine="480" w:firstLineChars="200"/>
              <w:jc w:val="left"/>
              <w:rPr>
                <w:rFonts w:ascii="楷体" w:hAnsi="楷体" w:eastAsia="楷体"/>
                <w:color w:val="000000"/>
                <w:sz w:val="24"/>
                <w:szCs w:val="24"/>
              </w:rPr>
            </w:pPr>
            <w:r>
              <w:rPr>
                <w:rFonts w:hint="eastAsia" w:ascii="楷体" w:hAnsi="楷体" w:eastAsia="楷体"/>
                <w:sz w:val="24"/>
                <w:szCs w:val="24"/>
              </w:rPr>
              <w:t>组织</w:t>
            </w:r>
            <w:r>
              <w:rPr>
                <w:rFonts w:hint="eastAsia" w:ascii="楷体" w:hAnsi="楷体" w:eastAsia="楷体"/>
                <w:color w:val="000000"/>
                <w:sz w:val="24"/>
                <w:szCs w:val="24"/>
              </w:rPr>
              <w:t>对公司质量、环境、职业健康安全目标、指标予以分解，并在相关职能层次部门建立分目标，查见《质量</w:t>
            </w:r>
            <w:r>
              <w:rPr>
                <w:rFonts w:ascii="楷体" w:hAnsi="楷体" w:eastAsia="楷体"/>
                <w:color w:val="000000"/>
                <w:sz w:val="24"/>
                <w:szCs w:val="24"/>
              </w:rPr>
              <w:t>\</w:t>
            </w:r>
            <w:r>
              <w:rPr>
                <w:rFonts w:hint="eastAsia" w:ascii="楷体" w:hAnsi="楷体" w:eastAsia="楷体"/>
                <w:color w:val="000000"/>
                <w:sz w:val="24"/>
                <w:szCs w:val="24"/>
              </w:rPr>
              <w:t>环境</w:t>
            </w:r>
            <w:r>
              <w:rPr>
                <w:rFonts w:ascii="楷体" w:hAnsi="楷体" w:eastAsia="楷体"/>
                <w:color w:val="000000"/>
                <w:sz w:val="24"/>
                <w:szCs w:val="24"/>
              </w:rPr>
              <w:t>\</w:t>
            </w:r>
            <w:r>
              <w:rPr>
                <w:rFonts w:hint="eastAsia" w:ascii="楷体" w:hAnsi="楷体" w:eastAsia="楷体"/>
                <w:color w:val="000000"/>
                <w:sz w:val="24"/>
                <w:szCs w:val="24"/>
              </w:rPr>
              <w:t>职业健康安全目标分解考核表》，</w:t>
            </w:r>
            <w:r>
              <w:rPr>
                <w:rFonts w:hint="eastAsia" w:ascii="楷体" w:hAnsi="楷体" w:eastAsia="楷体"/>
                <w:color w:val="000000"/>
                <w:sz w:val="24"/>
                <w:szCs w:val="24"/>
                <w:lang w:val="en-US" w:eastAsia="zh-CN"/>
              </w:rPr>
              <w:t>2020.4.1</w:t>
            </w:r>
            <w:r>
              <w:rPr>
                <w:rFonts w:hint="eastAsia" w:ascii="楷体" w:hAnsi="楷体" w:eastAsia="楷体"/>
                <w:color w:val="000000"/>
                <w:sz w:val="24"/>
                <w:szCs w:val="24"/>
              </w:rPr>
              <w:t>完成情况：</w:t>
            </w:r>
          </w:p>
          <w:p>
            <w:pPr>
              <w:spacing w:line="360" w:lineRule="auto"/>
            </w:pPr>
            <w:r>
              <w:pict>
                <v:shape id="_x0000_i1025" o:spt="75" type="#_x0000_t75" style="height:298.8pt;width:488.95pt;" filled="f" stroked="f" coordsize="21600,21600">
                  <v:path/>
                  <v:fill on="f" focussize="0,0"/>
                  <v:stroke on="f"/>
                  <v:imagedata r:id="rId6" o:title=""/>
                  <o:lock v:ext="edit" aspectratio="t"/>
                  <w10:wrap type="none"/>
                  <w10:anchorlock/>
                </v:shape>
              </w:pict>
            </w:r>
          </w:p>
          <w:p>
            <w:pPr>
              <w:spacing w:line="360" w:lineRule="auto"/>
            </w:pPr>
            <w:r>
              <w:pict>
                <v:shape id="_x0000_i1026" o:spt="75" type="#_x0000_t75" style="height:0pt;width:0pt;" filled="f" stroked="f" coordsize="21600,21600">
                  <v:path/>
                  <v:fill on="f" focussize="0,0"/>
                  <v:stroke on="f"/>
                  <v:imagedata r:id="rId7" o:title=""/>
                  <o:lock v:ext="edit" aspectratio="t"/>
                  <w10:wrap type="none"/>
                  <w10:anchorlock/>
                </v:shape>
              </w:pict>
            </w:r>
            <w:r>
              <w:pict>
                <v:shape id="_x0000_i1027" o:spt="75" type="#_x0000_t75" style="height:190.5pt;width:489.3pt;" filled="f" stroked="f" coordsize="21600,21600">
                  <v:path/>
                  <v:fill on="f" focussize="0,0"/>
                  <v:stroke on="f"/>
                  <v:imagedata r:id="rId7" o:title=""/>
                  <o:lock v:ext="edit" aspectratio="t"/>
                  <w10:wrap type="none"/>
                  <w10:anchorlock/>
                </v:shape>
              </w:pic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变更的策划</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w:t>
            </w:r>
            <w:r>
              <w:rPr>
                <w:rFonts w:hint="eastAsia" w:ascii="楷体" w:hAnsi="楷体" w:eastAsia="楷体"/>
                <w:sz w:val="24"/>
                <w:szCs w:val="24"/>
              </w:rPr>
              <w:t>：</w:t>
            </w:r>
            <w:r>
              <w:rPr>
                <w:rFonts w:ascii="楷体" w:hAnsi="楷体" w:eastAsia="楷体"/>
                <w:sz w:val="24"/>
                <w:szCs w:val="24"/>
              </w:rPr>
              <w:t>6.3</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总经理介绍变更时应考虑到：变更目的及其潜在后果；管理体系的完整性；资源的可获得性；责任和权限的分配或再分配。并要求对变更管理体系应进行评审，确保文件的适宜性，经批准后发布实施</w:t>
            </w:r>
            <w:r>
              <w:rPr>
                <w:rFonts w:hint="eastAsia" w:ascii="楷体" w:hAnsi="楷体" w:eastAsia="楷体"/>
                <w:sz w:val="24"/>
                <w:szCs w:val="24"/>
                <w:lang w:eastAsia="zh-CN"/>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9" w:type="dxa"/>
            <w:vAlign w:val="center"/>
          </w:tcPr>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协商与参与、安全事务代表</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 xml:space="preserve"> </w:t>
            </w:r>
          </w:p>
          <w:p>
            <w:pPr>
              <w:spacing w:line="360" w:lineRule="auto"/>
              <w:rPr>
                <w:rFonts w:ascii="楷体" w:hAnsi="楷体" w:eastAsia="楷体"/>
                <w:sz w:val="24"/>
                <w:szCs w:val="24"/>
              </w:rPr>
            </w:pPr>
            <w:r>
              <w:rPr>
                <w:rFonts w:ascii="楷体" w:hAnsi="楷体" w:eastAsia="楷体"/>
                <w:sz w:val="24"/>
                <w:szCs w:val="24"/>
              </w:rPr>
              <w:t>0</w:t>
            </w:r>
            <w:r>
              <w:rPr>
                <w:rFonts w:hint="eastAsia" w:ascii="楷体" w:hAnsi="楷体" w:eastAsia="楷体"/>
                <w:sz w:val="24"/>
                <w:szCs w:val="24"/>
              </w:rPr>
              <w:t>：</w:t>
            </w:r>
            <w:r>
              <w:rPr>
                <w:rFonts w:ascii="楷体" w:hAnsi="楷体" w:eastAsia="楷体"/>
                <w:sz w:val="24"/>
                <w:szCs w:val="24"/>
              </w:rPr>
              <w:t xml:space="preserve">5.4 </w:t>
            </w:r>
          </w:p>
        </w:tc>
        <w:tc>
          <w:tcPr>
            <w:tcW w:w="10004" w:type="dxa"/>
            <w:vAlign w:val="center"/>
          </w:tcPr>
          <w:p>
            <w:pPr>
              <w:tabs>
                <w:tab w:val="left" w:pos="9720"/>
                <w:tab w:val="left" w:pos="9900"/>
              </w:tabs>
              <w:spacing w:line="360" w:lineRule="auto"/>
              <w:ind w:firstLine="420"/>
              <w:rPr>
                <w:rFonts w:ascii="楷体" w:hAnsi="楷体" w:eastAsia="楷体"/>
                <w:sz w:val="24"/>
                <w:szCs w:val="24"/>
              </w:rPr>
            </w:pPr>
            <w:r>
              <w:rPr>
                <w:rFonts w:hint="eastAsia" w:ascii="楷体" w:hAnsi="楷体" w:eastAsia="楷体"/>
                <w:sz w:val="24"/>
                <w:szCs w:val="24"/>
              </w:rPr>
              <w:t>公司经选举确定职业健康安全事务代表是</w:t>
            </w:r>
            <w:r>
              <w:rPr>
                <w:rFonts w:hint="eastAsia" w:ascii="楷体" w:hAnsi="楷体" w:eastAsia="楷体"/>
                <w:sz w:val="24"/>
                <w:szCs w:val="24"/>
                <w:lang w:val="en-US" w:eastAsia="zh-CN"/>
              </w:rPr>
              <w:t>杨欢</w:t>
            </w:r>
            <w:r>
              <w:rPr>
                <w:rFonts w:hint="eastAsia" w:ascii="楷体" w:hAnsi="楷体" w:eastAsia="楷体"/>
                <w:sz w:val="24"/>
                <w:szCs w:val="24"/>
              </w:rPr>
              <w:t>，</w:t>
            </w:r>
          </w:p>
          <w:p>
            <w:pPr>
              <w:spacing w:line="360" w:lineRule="auto"/>
              <w:rPr>
                <w:rFonts w:ascii="楷体" w:hAnsi="楷体" w:eastAsia="楷体"/>
                <w:sz w:val="24"/>
                <w:szCs w:val="24"/>
              </w:rPr>
            </w:pPr>
            <w:r>
              <w:rPr>
                <w:rFonts w:ascii="楷体" w:hAnsi="楷体" w:eastAsia="楷体"/>
                <w:sz w:val="24"/>
                <w:szCs w:val="24"/>
              </w:rPr>
              <w:t>a</w:t>
            </w:r>
            <w:r>
              <w:rPr>
                <w:rFonts w:hint="eastAsia" w:ascii="楷体" w:hAnsi="楷体" w:eastAsia="楷体"/>
                <w:sz w:val="24"/>
                <w:szCs w:val="24"/>
              </w:rPr>
              <w:t>）负责职工代表大会的日常工作，检查、督促职工代表大会决议的执行；</w:t>
            </w:r>
            <w:r>
              <w:rPr>
                <w:rFonts w:ascii="楷体" w:hAnsi="楷体" w:eastAsia="楷体"/>
                <w:sz w:val="24"/>
                <w:szCs w:val="24"/>
              </w:rPr>
              <w:br w:type="textWrapping"/>
            </w:r>
            <w:r>
              <w:rPr>
                <w:rFonts w:ascii="楷体" w:hAnsi="楷体" w:eastAsia="楷体"/>
                <w:sz w:val="24"/>
                <w:szCs w:val="24"/>
              </w:rPr>
              <w:t>b</w:t>
            </w:r>
            <w:r>
              <w:rPr>
                <w:rFonts w:hint="eastAsia" w:ascii="楷体" w:hAnsi="楷体" w:eastAsia="楷体"/>
                <w:sz w:val="24"/>
                <w:szCs w:val="24"/>
              </w:rPr>
              <w:t>）负责召开讨论有关工资、福利、劳动安全卫生、社会保险等涉及职工切身利益的会议，代表员工反映员工的建议和意见；</w:t>
            </w:r>
          </w:p>
          <w:p>
            <w:pPr>
              <w:spacing w:line="360" w:lineRule="auto"/>
              <w:rPr>
                <w:rFonts w:ascii="楷体" w:hAnsi="楷体" w:eastAsia="楷体"/>
                <w:sz w:val="24"/>
                <w:szCs w:val="24"/>
              </w:rPr>
            </w:pPr>
            <w:r>
              <w:rPr>
                <w:rFonts w:ascii="楷体" w:hAnsi="楷体" w:eastAsia="楷体"/>
                <w:sz w:val="24"/>
                <w:szCs w:val="24"/>
              </w:rPr>
              <w:t>c</w:t>
            </w:r>
            <w:r>
              <w:rPr>
                <w:rFonts w:hint="eastAsia" w:ascii="楷体" w:hAnsi="楷体" w:eastAsia="楷体"/>
                <w:sz w:val="24"/>
                <w:szCs w:val="24"/>
              </w:rPr>
              <w:t>）接收、处理外部职业健康安全信息；</w:t>
            </w:r>
          </w:p>
          <w:p>
            <w:pPr>
              <w:spacing w:line="360" w:lineRule="auto"/>
              <w:rPr>
                <w:rFonts w:ascii="楷体" w:hAnsi="楷体" w:eastAsia="楷体"/>
                <w:sz w:val="24"/>
                <w:szCs w:val="24"/>
              </w:rPr>
            </w:pPr>
            <w:r>
              <w:rPr>
                <w:rFonts w:ascii="楷体" w:hAnsi="楷体" w:eastAsia="楷体"/>
                <w:sz w:val="24"/>
                <w:szCs w:val="24"/>
              </w:rPr>
              <w:t>d</w:t>
            </w:r>
            <w:r>
              <w:rPr>
                <w:rFonts w:hint="eastAsia" w:ascii="楷体" w:hAnsi="楷体" w:eastAsia="楷体"/>
                <w:sz w:val="24"/>
                <w:szCs w:val="24"/>
              </w:rPr>
              <w:t>）交流各级职能部门间产生的职业健康安全信息；</w:t>
            </w:r>
          </w:p>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）收集、处理和反馈员工所关心的职业健康安全问题；</w:t>
            </w:r>
          </w:p>
          <w:p>
            <w:pPr>
              <w:spacing w:line="360" w:lineRule="auto"/>
              <w:rPr>
                <w:rFonts w:ascii="楷体" w:hAnsi="楷体" w:eastAsia="楷体"/>
                <w:sz w:val="24"/>
                <w:szCs w:val="24"/>
              </w:rPr>
            </w:pPr>
            <w:r>
              <w:rPr>
                <w:rFonts w:ascii="楷体" w:hAnsi="楷体" w:eastAsia="楷体"/>
                <w:sz w:val="24"/>
                <w:szCs w:val="24"/>
              </w:rPr>
              <w:t>f</w:t>
            </w:r>
            <w:r>
              <w:rPr>
                <w:rFonts w:hint="eastAsia" w:ascii="楷体" w:hAnsi="楷体" w:eastAsia="楷体"/>
                <w:sz w:val="24"/>
                <w:szCs w:val="24"/>
              </w:rPr>
              <w:t>）参与职业健康安全工作方针和程序的制定、评审和实施；</w:t>
            </w:r>
          </w:p>
          <w:p>
            <w:pPr>
              <w:spacing w:line="360" w:lineRule="auto"/>
              <w:rPr>
                <w:rFonts w:ascii="楷体" w:hAnsi="楷体" w:eastAsia="楷体"/>
                <w:sz w:val="24"/>
                <w:szCs w:val="24"/>
              </w:rPr>
            </w:pPr>
            <w:r>
              <w:rPr>
                <w:rFonts w:ascii="楷体" w:hAnsi="楷体" w:eastAsia="楷体"/>
                <w:sz w:val="24"/>
                <w:szCs w:val="24"/>
              </w:rPr>
              <w:t>g</w:t>
            </w:r>
            <w:r>
              <w:rPr>
                <w:rFonts w:hint="eastAsia" w:ascii="楷体" w:hAnsi="楷体" w:eastAsia="楷体"/>
                <w:sz w:val="24"/>
                <w:szCs w:val="24"/>
              </w:rPr>
              <w:t>）参与影响作业场所人员职业健康安全的任何变化的讨论。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由于公司福利待遇正常发放，员工无抱怨，目前信息交流机制畅通。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现有的沟通渠道和方法能满足要求。审核中未发现因沟通不利不及时而造成（影响）某项工作不能正常运行的情况。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 xml:space="preserve">9.3  </w:t>
            </w:r>
          </w:p>
        </w:tc>
        <w:tc>
          <w:tcPr>
            <w:tcW w:w="10004"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查看《管理评审程序》，基本符合要求。</w:t>
            </w:r>
            <w:r>
              <w:rPr>
                <w:rFonts w:hint="eastAsia" w:ascii="楷体" w:hAnsi="楷体" w:eastAsia="楷体"/>
                <w:sz w:val="24"/>
                <w:szCs w:val="24"/>
                <w:lang w:val="en-US" w:eastAsia="zh-CN"/>
              </w:rPr>
              <w:t>2020.3.23</w:t>
            </w:r>
            <w:r>
              <w:rPr>
                <w:rFonts w:hint="eastAsia" w:ascii="楷体" w:hAnsi="楷体" w:eastAsia="楷体"/>
                <w:sz w:val="24"/>
                <w:szCs w:val="24"/>
              </w:rPr>
              <w:t>日进行了管理评审。</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w:t>
            </w:r>
            <w:r>
              <w:rPr>
                <w:rFonts w:ascii="楷体" w:hAnsi="楷体" w:eastAsia="楷体"/>
                <w:sz w:val="24"/>
                <w:szCs w:val="24"/>
              </w:rPr>
              <w:t xml:space="preserve"> </w:t>
            </w:r>
            <w:r>
              <w:rPr>
                <w:rFonts w:hint="eastAsia" w:ascii="楷体" w:hAnsi="楷体" w:eastAsia="楷体"/>
                <w:sz w:val="24"/>
                <w:szCs w:val="24"/>
              </w:rPr>
              <w:t>“管理评审计划”，由</w:t>
            </w:r>
            <w:r>
              <w:rPr>
                <w:rFonts w:hint="eastAsia" w:ascii="楷体" w:hAnsi="楷体" w:eastAsia="楷体"/>
                <w:sz w:val="24"/>
                <w:szCs w:val="24"/>
                <w:lang w:val="en-US" w:eastAsia="zh-CN"/>
              </w:rPr>
              <w:t>胡华江</w:t>
            </w:r>
            <w:r>
              <w:rPr>
                <w:rFonts w:hint="eastAsia" w:ascii="楷体" w:hAnsi="楷体" w:eastAsia="楷体"/>
                <w:sz w:val="24"/>
                <w:szCs w:val="24"/>
              </w:rPr>
              <w:t>签发；内容包括；评审目的、评审时间、参加部门人员、评审输入内容等。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w:t>
            </w:r>
            <w:r>
              <w:rPr>
                <w:rFonts w:ascii="楷体" w:hAnsi="楷体" w:eastAsia="楷体"/>
                <w:sz w:val="24"/>
                <w:szCs w:val="24"/>
              </w:rPr>
              <w:t>:</w:t>
            </w:r>
            <w:r>
              <w:rPr>
                <w:rFonts w:hint="eastAsia" w:ascii="楷体" w:hAnsi="楷体" w:eastAsia="楷体"/>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hint="eastAsia" w:ascii="楷体" w:hAnsi="楷体" w:eastAsia="楷体" w:cs="楷体"/>
                <w:color w:val="000000"/>
                <w:sz w:val="24"/>
                <w:lang w:eastAsia="zh-CN"/>
              </w:rPr>
            </w:pPr>
            <w:r>
              <w:rPr>
                <w:rFonts w:hint="eastAsia" w:ascii="楷体" w:hAnsi="楷体" w:eastAsia="楷体"/>
                <w:sz w:val="24"/>
                <w:szCs w:val="24"/>
              </w:rPr>
              <w:t>提出了</w:t>
            </w:r>
            <w:r>
              <w:rPr>
                <w:rFonts w:hint="eastAsia" w:ascii="楷体" w:hAnsi="楷体" w:eastAsia="楷体"/>
                <w:sz w:val="24"/>
                <w:szCs w:val="24"/>
                <w:lang w:val="en-US" w:eastAsia="zh-CN"/>
              </w:rPr>
              <w:t>2</w:t>
            </w:r>
            <w:r>
              <w:rPr>
                <w:rFonts w:hint="eastAsia" w:ascii="楷体" w:hAnsi="楷体" w:eastAsia="楷体"/>
                <w:sz w:val="24"/>
                <w:szCs w:val="24"/>
              </w:rPr>
              <w:t>项改进措施</w:t>
            </w:r>
            <w:r>
              <w:rPr>
                <w:rFonts w:ascii="楷体" w:hAnsi="楷体" w:eastAsia="楷体"/>
                <w:sz w:val="24"/>
                <w:szCs w:val="24"/>
              </w:rPr>
              <w:t>:</w:t>
            </w:r>
            <w:r>
              <w:rPr>
                <w:rFonts w:hint="eastAsia" w:ascii="楷体" w:hAnsi="楷体" w:eastAsia="楷体" w:cs="楷体"/>
                <w:color w:val="000000"/>
                <w:sz w:val="24"/>
              </w:rPr>
              <w:t>1）进一步组织对ISO 9001：2015、ISO 14001：2015、ISO45001：2018标准、《管理手册》、《程序文件》的学习和培训，使与管理体系有关的人员了解和掌握标准和本公司管理体系文件的内容</w:t>
            </w:r>
            <w:r>
              <w:rPr>
                <w:rFonts w:hint="eastAsia" w:ascii="楷体" w:hAnsi="楷体" w:eastAsia="楷体" w:cs="楷体"/>
                <w:color w:val="000000"/>
                <w:sz w:val="24"/>
                <w:lang w:eastAsia="zh-CN"/>
              </w:rPr>
              <w:t>。</w:t>
            </w:r>
          </w:p>
          <w:p>
            <w:pPr>
              <w:spacing w:line="400" w:lineRule="exact"/>
              <w:ind w:firstLine="480" w:firstLineChars="200"/>
              <w:rPr>
                <w:rFonts w:hint="eastAsia" w:ascii="楷体" w:hAnsi="楷体" w:eastAsia="楷体" w:cs="楷体"/>
                <w:sz w:val="24"/>
              </w:rPr>
            </w:pPr>
            <w:r>
              <w:rPr>
                <w:rFonts w:hint="eastAsia" w:ascii="楷体" w:hAnsi="楷体" w:eastAsia="楷体" w:cs="楷体"/>
                <w:sz w:val="24"/>
              </w:rPr>
              <w:t>2）节能降耗，减少生产车间和办公区域资源能源和办公器材消耗量，减排增效，确保环境卫生。</w:t>
            </w:r>
          </w:p>
          <w:p>
            <w:pPr>
              <w:spacing w:line="360" w:lineRule="auto"/>
              <w:ind w:firstLine="420"/>
              <w:jc w:val="left"/>
              <w:rPr>
                <w:rFonts w:hint="eastAsia" w:ascii="楷体" w:hAnsi="楷体" w:eastAsia="楷体" w:cs="楷体"/>
                <w:color w:val="000000"/>
                <w:sz w:val="24"/>
                <w:lang w:eastAsia="zh-CN"/>
              </w:rPr>
            </w:pPr>
            <w:r>
              <w:rPr>
                <w:rFonts w:hint="eastAsia" w:ascii="楷体" w:hAnsi="楷体" w:eastAsia="楷体" w:cs="楷体"/>
                <w:color w:val="000000"/>
                <w:sz w:val="24"/>
                <w:lang w:eastAsia="zh-CN"/>
              </w:rPr>
              <w:pict>
                <v:shape id="_x0000_i1028" o:spt="75" alt="b860d7bcd5cc06d1ea28ae5bc8d6586" type="#_x0000_t75" style="height:226pt;width:169.5pt;" filled="f" o:preferrelative="t" stroked="f" coordsize="21600,21600">
                  <v:path/>
                  <v:fill on="f" focussize="0,0"/>
                  <v:stroke on="f"/>
                  <v:imagedata r:id="rId8" o:title="b860d7bcd5cc06d1ea28ae5bc8d6586"/>
                  <o:lock v:ext="edit" aspectratio="t"/>
                  <w10:wrap type="none"/>
                  <w10:anchorlock/>
                </v:shape>
              </w:pict>
            </w:r>
            <w:bookmarkStart w:id="2" w:name="_GoBack"/>
            <w:bookmarkEnd w:id="2"/>
          </w:p>
          <w:p>
            <w:pPr>
              <w:spacing w:line="360" w:lineRule="auto"/>
              <w:rPr>
                <w:rFonts w:ascii="楷体" w:hAnsi="楷体" w:eastAsia="楷体"/>
                <w:sz w:val="24"/>
                <w:szCs w:val="24"/>
              </w:rPr>
            </w:pPr>
            <w:r>
              <w:rPr>
                <w:rFonts w:hint="eastAsia" w:ascii="楷体" w:hAnsi="楷体" w:eastAsia="楷体"/>
                <w:sz w:val="24"/>
                <w:szCs w:val="24"/>
              </w:rPr>
              <w:t>管理评审的策划及实施符合要求。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311" w:type="dxa"/>
            <w:vAlign w:val="center"/>
          </w:tcPr>
          <w:p>
            <w:pPr>
              <w:spacing w:line="360" w:lineRule="auto"/>
              <w:rPr>
                <w:rFonts w:ascii="楷体" w:hAnsi="楷体" w:eastAsia="楷体"/>
                <w:sz w:val="24"/>
                <w:szCs w:val="24"/>
              </w:rPr>
            </w:pPr>
            <w:r>
              <w:rPr>
                <w:rFonts w:ascii="楷体" w:hAnsi="楷体" w:eastAsia="楷体"/>
                <w:sz w:val="24"/>
                <w:szCs w:val="24"/>
              </w:rPr>
              <w:t>QEO</w:t>
            </w:r>
            <w:r>
              <w:rPr>
                <w:rFonts w:hint="eastAsia" w:ascii="楷体" w:hAnsi="楷体" w:eastAsia="楷体"/>
                <w:sz w:val="24"/>
                <w:szCs w:val="24"/>
              </w:rPr>
              <w:t>：</w:t>
            </w:r>
            <w:r>
              <w:rPr>
                <w:rFonts w:ascii="楷体" w:hAnsi="楷体" w:eastAsia="楷体"/>
                <w:sz w:val="24"/>
                <w:szCs w:val="24"/>
              </w:rPr>
              <w:t>10.1</w:t>
            </w:r>
            <w:r>
              <w:rPr>
                <w:rFonts w:hint="eastAsia" w:ascii="楷体" w:hAnsi="楷体" w:eastAsia="楷体"/>
                <w:sz w:val="24"/>
                <w:szCs w:val="24"/>
              </w:rPr>
              <w:t>、</w:t>
            </w:r>
            <w:r>
              <w:rPr>
                <w:rFonts w:ascii="楷体" w:hAnsi="楷体" w:eastAsia="楷体"/>
                <w:sz w:val="24"/>
                <w:szCs w:val="24"/>
              </w:rPr>
              <w:t>10.3</w:t>
            </w:r>
          </w:p>
          <w:p>
            <w:pPr>
              <w:spacing w:line="360" w:lineRule="auto"/>
              <w:rPr>
                <w:rFonts w:ascii="楷体" w:hAnsi="楷体" w:eastAsia="楷体"/>
                <w:sz w:val="24"/>
                <w:szCs w:val="24"/>
              </w:rPr>
            </w:pPr>
          </w:p>
        </w:tc>
        <w:tc>
          <w:tcPr>
            <w:tcW w:w="10004" w:type="dxa"/>
            <w:vAlign w:val="center"/>
          </w:tcPr>
          <w:p>
            <w:pPr>
              <w:snapToGrid w:val="0"/>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vAlign w:val="top"/>
          </w:tcPr>
          <w:p>
            <w:pPr>
              <w:rPr>
                <w:rFonts w:ascii="楷体" w:hAnsi="楷体" w:eastAsia="楷体"/>
                <w:color w:val="auto"/>
                <w:sz w:val="24"/>
                <w:szCs w:val="24"/>
              </w:rPr>
            </w:pPr>
            <w:r>
              <w:rPr>
                <w:rFonts w:hint="eastAsia" w:ascii="楷体" w:hAnsi="楷体" w:eastAsia="楷体"/>
                <w:color w:val="auto"/>
                <w:sz w:val="24"/>
                <w:szCs w:val="24"/>
              </w:rPr>
              <w:t>标准</w:t>
            </w:r>
            <w:r>
              <w:rPr>
                <w:rFonts w:ascii="楷体" w:hAnsi="楷体" w:eastAsia="楷体"/>
                <w:color w:val="auto"/>
                <w:sz w:val="24"/>
                <w:szCs w:val="24"/>
              </w:rPr>
              <w:t>/</w:t>
            </w:r>
            <w:r>
              <w:rPr>
                <w:rFonts w:hint="eastAsia" w:ascii="楷体" w:hAnsi="楷体" w:eastAsia="楷体"/>
                <w:color w:val="auto"/>
                <w:sz w:val="24"/>
                <w:szCs w:val="24"/>
              </w:rPr>
              <w:t>规范</w:t>
            </w:r>
            <w:r>
              <w:rPr>
                <w:rFonts w:ascii="楷体" w:hAnsi="楷体" w:eastAsia="楷体"/>
                <w:color w:val="auto"/>
                <w:sz w:val="24"/>
                <w:szCs w:val="24"/>
              </w:rPr>
              <w:t>/</w:t>
            </w:r>
            <w:r>
              <w:rPr>
                <w:rFonts w:hint="eastAsia" w:ascii="楷体" w:hAnsi="楷体" w:eastAsia="楷体"/>
                <w:color w:val="auto"/>
                <w:sz w:val="24"/>
                <w:szCs w:val="24"/>
              </w:rPr>
              <w:t>法规的执行情况、上次审核不符合项的验证、认证证书、标志的使用情况、投诉或事故、监督抽查情况、体系变动</w:t>
            </w:r>
          </w:p>
        </w:tc>
        <w:tc>
          <w:tcPr>
            <w:tcW w:w="1311" w:type="dxa"/>
            <w:vAlign w:val="top"/>
          </w:tcPr>
          <w:p>
            <w:pPr>
              <w:rPr>
                <w:rFonts w:ascii="楷体" w:hAnsi="楷体" w:eastAsia="楷体"/>
                <w:color w:val="auto"/>
                <w:sz w:val="24"/>
                <w:szCs w:val="24"/>
              </w:rPr>
            </w:pPr>
          </w:p>
        </w:tc>
        <w:tc>
          <w:tcPr>
            <w:tcW w:w="10004" w:type="dxa"/>
            <w:vAlign w:val="top"/>
          </w:tcPr>
          <w:p>
            <w:pPr>
              <w:spacing w:line="360" w:lineRule="auto"/>
              <w:ind w:firstLine="480" w:firstLineChars="200"/>
              <w:rPr>
                <w:rFonts w:hint="eastAsia" w:ascii="楷体" w:hAnsi="楷体" w:eastAsia="楷体"/>
                <w:color w:val="auto"/>
                <w:sz w:val="24"/>
                <w:szCs w:val="24"/>
              </w:rPr>
            </w:pPr>
            <w:r>
              <w:rPr>
                <w:rFonts w:hint="eastAsia" w:ascii="楷体" w:hAnsi="楷体" w:eastAsia="楷体"/>
                <w:color w:val="auto"/>
                <w:sz w:val="24"/>
                <w:szCs w:val="24"/>
              </w:rPr>
              <w:t>公司执行</w:t>
            </w:r>
            <w:r>
              <w:rPr>
                <w:rFonts w:ascii="楷体" w:hAnsi="楷体" w:eastAsia="楷体"/>
                <w:color w:val="auto"/>
                <w:sz w:val="24"/>
                <w:szCs w:val="24"/>
              </w:rPr>
              <w:t xml:space="preserve"> </w:t>
            </w:r>
            <w:r>
              <w:rPr>
                <w:rFonts w:hint="eastAsia" w:ascii="楷体" w:hAnsi="楷体" w:eastAsia="楷体" w:cs="楷体"/>
                <w:color w:val="auto"/>
                <w:sz w:val="24"/>
              </w:rPr>
              <w:t>GB/T19001-2016/ISO 9001:2015、GB/T24001-2016/ISO 14001:2015及</w:t>
            </w:r>
            <w:r>
              <w:rPr>
                <w:rFonts w:hint="eastAsia" w:ascii="楷体" w:hAnsi="楷体" w:eastAsia="楷体" w:cs="楷体"/>
                <w:color w:val="auto"/>
                <w:sz w:val="24"/>
                <w:lang w:eastAsia="zh-CN"/>
              </w:rPr>
              <w:t>ISO45001：2018</w:t>
            </w:r>
            <w:r>
              <w:rPr>
                <w:rFonts w:hint="eastAsia" w:ascii="楷体" w:hAnsi="楷体" w:eastAsia="楷体" w:cs="楷体"/>
                <w:color w:val="auto"/>
                <w:sz w:val="24"/>
              </w:rPr>
              <w:t>标准</w:t>
            </w:r>
            <w:r>
              <w:rPr>
                <w:rFonts w:hint="eastAsia" w:ascii="楷体" w:hAnsi="楷体" w:eastAsia="楷体"/>
                <w:color w:val="auto"/>
                <w:sz w:val="24"/>
                <w:szCs w:val="24"/>
              </w:rPr>
              <w:t>，遵守与企业相关的法律法规和地方政策，产品</w:t>
            </w:r>
            <w:r>
              <w:rPr>
                <w:rFonts w:hint="eastAsia" w:ascii="楷体" w:hAnsi="楷体" w:eastAsia="楷体"/>
                <w:color w:val="auto"/>
                <w:sz w:val="24"/>
                <w:szCs w:val="24"/>
                <w:lang w:val="en-US" w:eastAsia="zh-CN"/>
              </w:rPr>
              <w:t>执行企业标准</w:t>
            </w:r>
            <w:r>
              <w:rPr>
                <w:rFonts w:hint="eastAsia" w:ascii="楷体" w:hAnsi="楷体" w:eastAsia="楷体" w:cs="宋体"/>
                <w:color w:val="auto"/>
                <w:sz w:val="24"/>
                <w:szCs w:val="24"/>
              </w:rPr>
              <w:t>；上次审核发现</w:t>
            </w:r>
            <w:r>
              <w:rPr>
                <w:rFonts w:hint="eastAsia" w:ascii="楷体" w:hAnsi="楷体" w:eastAsia="楷体" w:cs="宋体"/>
                <w:color w:val="auto"/>
                <w:sz w:val="24"/>
                <w:szCs w:val="24"/>
                <w:lang w:val="en-US" w:eastAsia="zh-CN"/>
              </w:rPr>
              <w:t>的</w:t>
            </w:r>
            <w:r>
              <w:rPr>
                <w:rFonts w:hint="eastAsia" w:ascii="楷体" w:hAnsi="楷体" w:eastAsia="楷体" w:cs="宋体"/>
                <w:color w:val="auto"/>
                <w:sz w:val="24"/>
                <w:szCs w:val="24"/>
              </w:rPr>
              <w:t>一般不符合项，经现场查验均按要求进行了整改，验证合格。认证证书主要为企业招投标使用，产品、包装上未使用相关标志；目前为止</w:t>
            </w:r>
            <w:r>
              <w:rPr>
                <w:rFonts w:hint="eastAsia" w:ascii="楷体" w:hAnsi="楷体" w:eastAsia="楷体" w:cs="宋体"/>
                <w:color w:val="auto"/>
                <w:sz w:val="24"/>
                <w:szCs w:val="24"/>
                <w:lang w:val="en-US" w:eastAsia="zh-CN"/>
              </w:rPr>
              <w:t>未</w:t>
            </w:r>
            <w:r>
              <w:rPr>
                <w:rFonts w:hint="eastAsia" w:ascii="楷体" w:hAnsi="楷体" w:eastAsia="楷体" w:cs="宋体"/>
                <w:color w:val="auto"/>
                <w:sz w:val="24"/>
                <w:szCs w:val="24"/>
              </w:rPr>
              <w:t>发生顾客投诉和事故情况；体系运行正常没有变动。</w:t>
            </w:r>
          </w:p>
        </w:tc>
        <w:tc>
          <w:tcPr>
            <w:tcW w:w="1585" w:type="dxa"/>
            <w:vAlign w:val="top"/>
          </w:tcPr>
          <w:p>
            <w:pPr>
              <w:rPr>
                <w:rFonts w:ascii="楷体" w:hAnsi="楷体" w:eastAsia="楷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国家</w:t>
            </w:r>
            <w:r>
              <w:rPr>
                <w:rFonts w:ascii="楷体" w:hAnsi="楷体" w:eastAsia="楷体"/>
                <w:sz w:val="24"/>
                <w:szCs w:val="24"/>
              </w:rPr>
              <w:t>/</w:t>
            </w:r>
            <w:r>
              <w:rPr>
                <w:rFonts w:hint="eastAsia" w:ascii="楷体" w:hAnsi="楷体" w:eastAsia="楷体"/>
                <w:sz w:val="24"/>
                <w:szCs w:val="24"/>
              </w:rPr>
              <w:t>地方抽查、顾客满意、相关方投诉处理</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自公司成立以来，未受到上级主管部门有关质量、环境问题、职业健康安全的行政处罚。未发生相关方的投诉。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w:t>
            </w:r>
            <w:r>
              <w:rPr>
                <w:rFonts w:ascii="楷体" w:hAnsi="楷体" w:eastAsia="楷体"/>
                <w:sz w:val="24"/>
                <w:szCs w:val="24"/>
              </w:rPr>
              <w:t>/</w:t>
            </w:r>
            <w:r>
              <w:rPr>
                <w:rFonts w:hint="eastAsia" w:ascii="楷体" w:hAnsi="楷体" w:eastAsia="楷体"/>
                <w:sz w:val="24"/>
                <w:szCs w:val="24"/>
              </w:rPr>
              <w:t>地方抽查情况。</w:t>
            </w:r>
          </w:p>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360" w:lineRule="auto"/>
              <w:rPr>
                <w:rFonts w:ascii="楷体" w:hAnsi="楷体" w:eastAsia="楷体"/>
                <w:sz w:val="24"/>
                <w:szCs w:val="24"/>
              </w:rPr>
            </w:pPr>
            <w:r>
              <w:rPr>
                <w:rFonts w:hint="eastAsia" w:ascii="楷体" w:hAnsi="楷体" w:eastAsia="楷体"/>
                <w:sz w:val="24"/>
                <w:szCs w:val="24"/>
              </w:rPr>
              <w:t>验证资质</w:t>
            </w:r>
          </w:p>
        </w:tc>
        <w:tc>
          <w:tcPr>
            <w:tcW w:w="1311" w:type="dxa"/>
          </w:tcPr>
          <w:p>
            <w:pPr>
              <w:spacing w:line="360" w:lineRule="auto"/>
              <w:rPr>
                <w:rFonts w:ascii="楷体" w:hAnsi="楷体" w:eastAsia="楷体"/>
                <w:sz w:val="24"/>
                <w:szCs w:val="24"/>
              </w:rPr>
            </w:pP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提供了组织营业执照有效。</w:t>
            </w:r>
          </w:p>
        </w:tc>
        <w:tc>
          <w:tcPr>
            <w:tcW w:w="1585" w:type="dxa"/>
          </w:tcPr>
          <w:p>
            <w:pPr>
              <w:spacing w:line="360" w:lineRule="auto"/>
              <w:rPr>
                <w:rFonts w:ascii="楷体" w:hAnsi="楷体" w:eastAsia="楷体"/>
                <w:sz w:val="24"/>
                <w:szCs w:val="24"/>
              </w:rPr>
            </w:pPr>
          </w:p>
        </w:tc>
      </w:tr>
    </w:tbl>
    <w:p>
      <w:pPr>
        <w:jc w:val="center"/>
        <w:rPr>
          <w:rFonts w:ascii="楷体" w:hAnsi="楷体" w:eastAsia="楷体"/>
        </w:rPr>
      </w:pPr>
      <w:r>
        <w:rPr>
          <w:rFonts w:ascii="楷体" w:hAnsi="楷体" w:eastAsia="楷体"/>
        </w:rPr>
        <w:br w:type="textWrapping" w:clear="all"/>
      </w:r>
    </w:p>
    <w:p>
      <w:pPr>
        <w:pStyle w:val="3"/>
        <w:rPr>
          <w:rFonts w:ascii="楷体" w:hAnsi="楷体" w:eastAsia="楷体"/>
        </w:rPr>
      </w:pPr>
      <w:r>
        <w:rPr>
          <w:rFonts w:hint="eastAsia" w:ascii="楷体" w:hAnsi="楷体" w:eastAsia="楷体"/>
        </w:rPr>
        <w:t>说明：不符合标注</w:t>
      </w:r>
      <w:r>
        <w:rPr>
          <w:rFonts w:ascii="楷体" w:hAnsi="楷体" w:eastAsia="楷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7E31045"/>
    <w:rsid w:val="086E6A5B"/>
    <w:rsid w:val="108219C2"/>
    <w:rsid w:val="11920312"/>
    <w:rsid w:val="18A36E43"/>
    <w:rsid w:val="18DA4B79"/>
    <w:rsid w:val="334C39D0"/>
    <w:rsid w:val="35107CFD"/>
    <w:rsid w:val="35AB230E"/>
    <w:rsid w:val="3C0E565E"/>
    <w:rsid w:val="51FA7BA5"/>
    <w:rsid w:val="5EA12B9A"/>
    <w:rsid w:val="60B66F5B"/>
    <w:rsid w:val="63743DBE"/>
    <w:rsid w:val="6F1216C3"/>
    <w:rsid w:val="79403FCC"/>
    <w:rsid w:val="7FB826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qFormat/>
    <w:locked/>
    <w:uiPriority w:val="99"/>
    <w:rPr>
      <w:rFonts w:ascii="Times New Roman" w:hAnsi="Times New Roman" w:eastAsia="宋体" w:cs="Times New Roman"/>
      <w:sz w:val="18"/>
      <w:szCs w:val="18"/>
    </w:rPr>
  </w:style>
  <w:style w:type="character" w:customStyle="1" w:styleId="10">
    <w:name w:val="页眉 Char"/>
    <w:link w:val="4"/>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3</TotalTime>
  <ScaleCrop>false</ScaleCrop>
  <LinksUpToDate>false</LinksUpToDate>
  <CharactersWithSpaces>7097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小小</cp:lastModifiedBy>
  <dcterms:modified xsi:type="dcterms:W3CDTF">2020-04-29T02:49:58Z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