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20768-2024-Q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713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成都欧林生物科技股份有限公司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175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余家龙</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2023-N1QMS-2262293</w:t>
            </w:r>
          </w:p>
        </w:tc>
        <w:tc>
          <w:tcPr>
            <w:tcW w:w="3145" w:type="dxa"/>
            <w:vAlign w:val="center"/>
          </w:tcPr>
          <w:p w:rsidR="00142F5C" w:rsidP="00772D33">
            <w:pPr>
              <w:spacing w:line="360" w:lineRule="exact"/>
              <w:jc w:val="center"/>
              <w:rPr>
                <w:szCs w:val="21"/>
              </w:rPr>
            </w:pPr>
            <w:r>
              <w:t>13.02.00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2025年09月24日上午至2025年09月26日下午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Q:资质许可范围内吸附破伤风疫苗、b型流感嗜血杆菌结合疫苗、A群C群脑膜炎球菌多糖结合疫苗的研发及生产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成都高新区天欣路99号</w:t>
      </w:r>
    </w:p>
    <w:p w:rsidR="001F0A49">
      <w:pPr>
        <w:spacing w:line="360" w:lineRule="auto"/>
        <w:ind w:firstLine="420" w:firstLineChars="200"/>
      </w:pPr>
      <w:r>
        <w:rPr>
          <w:rFonts w:hint="eastAsia"/>
        </w:rPr>
        <w:t>办公地址：</w:t>
      </w:r>
      <w:r>
        <w:rPr>
          <w:rFonts w:hint="eastAsia"/>
        </w:rPr>
        <w:t>成都高新区天欣路99号</w:t>
      </w:r>
    </w:p>
    <w:p w:rsidR="001F0A49">
      <w:pPr>
        <w:spacing w:line="360" w:lineRule="auto"/>
        <w:ind w:firstLine="420" w:firstLineChars="200"/>
      </w:pPr>
      <w:r>
        <w:rPr>
          <w:rFonts w:hint="eastAsia"/>
        </w:rPr>
        <w:t>经营地址：</w:t>
      </w:r>
      <w:bookmarkStart w:id="12" w:name="生产地址"/>
      <w:bookmarkEnd w:id="12"/>
      <w:r>
        <w:rPr>
          <w:rFonts w:hint="eastAsia"/>
        </w:rPr>
        <w:t>成都高新区天欣路99号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成都欧林生物科技股份有限公司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99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