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A1857" w:rsidP="00DC0BB0">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20743-2024-EnMS</w:t>
      </w:r>
    </w:p>
    <w:p w:rsidR="005A1857">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rsidR="005A1857">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上海纳宇电气有限公司</w:t>
            </w:r>
          </w:p>
        </w:tc>
        <w:tc>
          <w:tcPr>
            <w:tcW w:w="1275"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tblPrEx>
          <w:tblW w:w="0" w:type="auto"/>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628" w:type="dxa"/>
            <w:gridSpan w:val="3"/>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91310114671148903T</w:t>
            </w:r>
          </w:p>
        </w:tc>
        <w:tc>
          <w:tcPr>
            <w:tcW w:w="1275"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483" w:type="dxa"/>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认证标准</w:t>
            </w:r>
          </w:p>
        </w:tc>
        <w:tc>
          <w:tcPr>
            <w:tcW w:w="8386" w:type="dxa"/>
            <w:gridSpan w:val="5"/>
          </w:tcPr>
          <w:p w:rsidR="005A1857">
            <w:pPr>
              <w:pStyle w:val="BodyTextIndent"/>
              <w:spacing w:line="276" w:lineRule="auto"/>
              <w:ind w:firstLine="0"/>
              <w:rPr>
                <w:bCs/>
                <w:sz w:val="21"/>
                <w:szCs w:val="21"/>
              </w:rPr>
            </w:pPr>
            <w:r>
              <w:rPr>
                <w:rFonts w:hint="eastAsia"/>
                <w:bCs/>
                <w:sz w:val="21"/>
                <w:szCs w:val="21"/>
              </w:rPr>
              <w:t>GB/T 23331-2020/ISO 50001 : 2018</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审核类型</w:t>
            </w:r>
          </w:p>
        </w:tc>
        <w:tc>
          <w:tcPr>
            <w:tcW w:w="8386" w:type="dxa"/>
            <w:gridSpan w:val="5"/>
          </w:tcPr>
          <w:p w:rsidR="005A1857">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变更内容</w:t>
            </w:r>
          </w:p>
        </w:tc>
        <w:tc>
          <w:tcPr>
            <w:tcW w:w="8386" w:type="dxa"/>
            <w:gridSpan w:val="5"/>
          </w:tcPr>
          <w:p w:rsidR="005A185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6"/>
            <w:shd w:val="clear" w:color="auto" w:fill="F2F2F2" w:themeFill="background1" w:themeFillShade="F2"/>
          </w:tcPr>
          <w:p w:rsidR="005A1857">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上海纳宇电气有限公司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上海市闵行区春常路18号1幢3层X6室</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上海市闵行区春常路18号1幢3层X6室</w:t>
            </w:r>
          </w:p>
          <w:p w:rsidR="005A1857">
            <w:pPr>
              <w:snapToGrid w:val="0"/>
              <w:spacing w:line="0" w:lineRule="atLeast"/>
              <w:jc w:val="left"/>
              <w:rPr>
                <w:sz w:val="21"/>
                <w:szCs w:val="21"/>
              </w:rPr>
            </w:pPr>
            <w:r>
              <w:rPr>
                <w:rFonts w:hint="eastAsia"/>
                <w:sz w:val="21"/>
                <w:szCs w:val="21"/>
              </w:rPr>
              <w:t>上海纳宇电气有限公司天台工厂 浙江省台州市天台县始丰街道西园路58号3幢、5幢、7幢；虹桥机场T2航站楼北侧附属配套用房/P项目 上海市闵行区申达一路77号上海虹桥机场</w:t>
            </w:r>
          </w:p>
          <w:p w:rsidR="005A1857">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3" w:name="审核范围"/>
            <w:bookmarkEnd w:id="3"/>
            <w:r>
              <w:rPr>
                <w:rFonts w:hint="eastAsia"/>
                <w:sz w:val="21"/>
                <w:szCs w:val="21"/>
                <w:lang w:val="en-GB"/>
              </w:rPr>
              <w:t>EnMS:配电仪表、供应用仪器仪表、智能仪器仪表、输配电及控制设备（电气安全监控、电气保护装置、电能质量治理设备、电量传感器、物联网通讯设备）设计、制造和计算机软件开发、计算机系统集成所涉及的能源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上海纳宇电气有限公司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上海市闵行区春常路18号1幢3层X6室</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上海市闵行区春常路18号1幢3层X6室</w:t>
            </w:r>
          </w:p>
          <w:p w:rsidR="005A1857">
            <w:pPr>
              <w:snapToGrid w:val="0"/>
              <w:spacing w:line="0" w:lineRule="atLeast"/>
              <w:jc w:val="left"/>
              <w:rPr>
                <w:sz w:val="21"/>
                <w:szCs w:val="21"/>
              </w:rPr>
            </w:pPr>
            <w:r>
              <w:rPr>
                <w:rFonts w:hint="eastAsia"/>
                <w:sz w:val="21"/>
                <w:szCs w:val="21"/>
              </w:rPr>
              <w:t>上海纳宇电气有限公司天台工厂 浙江省台州市天台县始丰街道西园路58号3幢、5幢、7幢；虹桥机场T2航站楼北侧附属配套用房/P项目 上海市闵行区申达一路77号上海虹桥机场</w:t>
            </w:r>
            <w:bookmarkStart w:id="4" w:name="_GoBack"/>
            <w:bookmarkEnd w:id="4"/>
          </w:p>
          <w:p w:rsidR="005A1857">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5" w:name="审核范围Add1"/>
            <w:bookmarkEnd w:id="5"/>
            <w:r>
              <w:rPr>
                <w:rFonts w:hint="eastAsia"/>
                <w:sz w:val="21"/>
                <w:szCs w:val="21"/>
                <w:lang w:val="en-GB"/>
              </w:rPr>
              <w:t>EnMS:配电仪表、供应用仪器仪表、智能仪器仪表、输配电及控制设备（电气安全监控、电气保护装置、电能质量治理设备、电量传感器、物联网通讯设备）设计、制造和计算机软件开发、计算机系统集成所涉及的能源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9962" w:type="dxa"/>
            <w:gridSpan w:val="6"/>
          </w:tcPr>
          <w:p w:rsidR="005A1857">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r>
      <w:tr>
        <w:tblPrEx>
          <w:tblW w:w="0" w:type="auto"/>
          <w:tblLayout w:type="fixed"/>
          <w:tblLook w:val="04A0"/>
        </w:tblPrEx>
        <w:tc>
          <w:tcPr>
            <w:tcW w:w="9962" w:type="dxa"/>
            <w:gridSpan w:val="6"/>
          </w:tcPr>
          <w:p w:rsidR="005A185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rPr>
          <w:trHeight w:val="1534"/>
        </w:trPr>
        <w:tc>
          <w:tcPr>
            <w:tcW w:w="1660" w:type="dxa"/>
            <w:gridSpan w:val="2"/>
            <w:vAlign w:val="center"/>
          </w:tcPr>
          <w:p w:rsidR="005A1857">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223" w:type="dxa"/>
            <w:vAlign w:val="center"/>
          </w:tcPr>
          <w:p w:rsidR="005A1857">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5A1857">
      <w:pPr>
        <w:snapToGrid w:val="0"/>
        <w:spacing w:line="0" w:lineRule="atLeast"/>
        <w:jc w:val="center"/>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注：</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、填写本说明并不代表贵单位已通过认证；</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、本说明中填写的管理体系覆盖范围，应与末次会议上宣布的及审核报告上确认的范围一致；</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、请在申请认证组织名称处加盖公章；</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、组织需自行提供英文版认证证书信息。</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r>
        <w:rPr>
          <w:rFonts w:asciiTheme="minorEastAsia" w:eastAsiaTheme="minorEastAsia" w:hAnsiTheme="minorEastAsia" w:hint="eastAsia"/>
          <w:bCs/>
          <w:sz w:val="21"/>
          <w:szCs w:val="21"/>
        </w:rPr>
        <w:t>、组织如不能自行提供英文信息的，我公司可协助翻译，组织需缴纳翻译费</w:t>
      </w:r>
      <w:r>
        <w:rPr>
          <w:rFonts w:asciiTheme="minorEastAsia" w:eastAsiaTheme="minorEastAsia" w:hAnsiTheme="minorEastAsia" w:hint="eastAsia"/>
          <w:bCs/>
          <w:sz w:val="21"/>
          <w:szCs w:val="21"/>
        </w:rPr>
        <w:t>200</w:t>
      </w:r>
      <w:r>
        <w:rPr>
          <w:rFonts w:asciiTheme="minorEastAsia" w:eastAsiaTheme="minorEastAsia" w:hAnsiTheme="minorEastAsia" w:hint="eastAsia"/>
          <w:bCs/>
          <w:sz w:val="21"/>
          <w:szCs w:val="21"/>
        </w:rPr>
        <w:t>元；</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、翻译费用可直接与审核费用一同汇入我公司账户或由审核组长从现场带回。</w:t>
      </w:r>
    </w:p>
    <w:p w:rsidR="005A1857">
      <w:pPr>
        <w:snapToGrid w:val="0"/>
        <w:spacing w:line="0" w:lineRule="atLeast"/>
        <w:rPr>
          <w:bCs/>
          <w:sz w:val="21"/>
          <w:szCs w:val="21"/>
        </w:rPr>
      </w:pPr>
    </w:p>
    <w:p w:rsidR="005A1857">
      <w:pPr>
        <w:snapToGrid w:val="0"/>
        <w:spacing w:line="0" w:lineRule="atLeast"/>
        <w:rPr>
          <w:bCs/>
          <w:sz w:val="21"/>
          <w:szCs w:val="21"/>
          <w:lang w:val="en-GB"/>
        </w:rPr>
      </w:pPr>
      <w:r>
        <w:rPr>
          <w:rFonts w:hint="eastAsia"/>
          <w:bCs/>
          <w:sz w:val="21"/>
          <w:szCs w:val="21"/>
        </w:rPr>
        <w:t>附件</w:t>
      </w:r>
      <w:r>
        <w:rPr>
          <w:rFonts w:hint="eastAsia"/>
          <w:bCs/>
          <w:sz w:val="21"/>
          <w:szCs w:val="21"/>
        </w:rPr>
        <w:t>1</w:t>
      </w:r>
      <w:r>
        <w:rPr>
          <w:rFonts w:hint="eastAsia"/>
          <w:bCs/>
          <w:sz w:val="21"/>
          <w:szCs w:val="21"/>
        </w:rPr>
        <w:t>：</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rsidR="005A1857">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rsidR="005A1857">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tblPrEx>
          <w:tblW w:w="0" w:type="auto"/>
          <w:tblLayout w:type="fixed"/>
          <w:tblLook w:val="04A0"/>
        </w:tblPrEx>
        <w:tc>
          <w:tcPr>
            <w:tcW w:w="9962" w:type="dxa"/>
            <w:gridSpan w:val="2"/>
            <w:vAlign w:val="center"/>
          </w:tcPr>
          <w:p w:rsidR="005A1857">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tblPrEx>
          <w:tblW w:w="0" w:type="auto"/>
          <w:tblLayout w:type="fixed"/>
          <w:tblLook w:val="04A0"/>
        </w:tblPrEx>
        <w:trPr>
          <w:trHeight w:val="857"/>
        </w:trPr>
        <w:tc>
          <w:tcPr>
            <w:tcW w:w="896" w:type="dxa"/>
            <w:vAlign w:val="center"/>
          </w:tcPr>
          <w:p w:rsidR="005A1857">
            <w:pPr>
              <w:snapToGrid w:val="0"/>
              <w:spacing w:line="0" w:lineRule="atLeast"/>
              <w:rPr>
                <w:bCs/>
                <w:sz w:val="21"/>
                <w:szCs w:val="21"/>
              </w:rPr>
            </w:pPr>
            <w:r>
              <w:rPr>
                <w:rFonts w:hint="eastAsia"/>
                <w:bCs/>
                <w:sz w:val="21"/>
                <w:szCs w:val="21"/>
              </w:rPr>
              <w:t>场所</w:t>
            </w:r>
            <w:r>
              <w:rPr>
                <w:rFonts w:hint="eastAsia"/>
                <w:bCs/>
                <w:sz w:val="21"/>
                <w:szCs w:val="21"/>
              </w:rPr>
              <w:t>1</w:t>
            </w:r>
          </w:p>
        </w:tc>
        <w:tc>
          <w:tcPr>
            <w:tcW w:w="9066" w:type="dxa"/>
            <w:vAlign w:val="center"/>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snapToGrid w:val="0"/>
              <w:spacing w:line="0" w:lineRule="atLeast"/>
              <w:rPr>
                <w:bCs/>
                <w:sz w:val="21"/>
                <w:szCs w:val="21"/>
              </w:rPr>
            </w:pPr>
            <w:r>
              <w:rPr>
                <w:bCs/>
                <w:sz w:val="21"/>
                <w:szCs w:val="21"/>
                <w:lang w:val="en-GB"/>
              </w:rPr>
              <w:t>Scope</w:t>
            </w:r>
            <w:r>
              <w:rPr>
                <w:rFonts w:hint="eastAsia"/>
                <w:bCs/>
                <w:sz w:val="21"/>
                <w:szCs w:val="21"/>
                <w:lang w:val="en-GB"/>
              </w:rPr>
              <w:t>：</w:t>
            </w:r>
          </w:p>
        </w:tc>
      </w:tr>
      <w:tr>
        <w:tblPrEx>
          <w:tblW w:w="0" w:type="auto"/>
          <w:tblLayout w:type="fixed"/>
          <w:tblLook w:val="04A0"/>
        </w:tblPrEx>
        <w:trPr>
          <w:trHeight w:val="857"/>
        </w:trPr>
        <w:tc>
          <w:tcPr>
            <w:tcW w:w="896" w:type="dxa"/>
          </w:tcPr>
          <w:p w:rsidR="005A1857">
            <w:pPr>
              <w:snapToGrid w:val="0"/>
              <w:spacing w:line="0" w:lineRule="atLeast"/>
              <w:rPr>
                <w:bCs/>
                <w:sz w:val="21"/>
                <w:szCs w:val="21"/>
              </w:rPr>
            </w:pPr>
            <w:r>
              <w:rPr>
                <w:rFonts w:hint="eastAsia"/>
                <w:bCs/>
                <w:sz w:val="21"/>
                <w:szCs w:val="21"/>
              </w:rPr>
              <w:t>场所</w:t>
            </w:r>
            <w:r>
              <w:rPr>
                <w:rFonts w:hint="eastAsia"/>
                <w:bCs/>
                <w:sz w:val="21"/>
                <w:szCs w:val="21"/>
              </w:rPr>
              <w:t>2</w:t>
            </w:r>
          </w:p>
        </w:tc>
        <w:tc>
          <w:tcPr>
            <w:tcW w:w="9066" w:type="dxa"/>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附件</w:t>
      </w:r>
      <w:r>
        <w:rPr>
          <w:rFonts w:hint="eastAsia"/>
          <w:bCs/>
          <w:sz w:val="21"/>
          <w:szCs w:val="21"/>
        </w:rPr>
        <w:t>2</w:t>
      </w:r>
      <w:r>
        <w:rPr>
          <w:rFonts w:hint="eastAsia"/>
          <w:bCs/>
          <w:sz w:val="21"/>
          <w:szCs w:val="21"/>
        </w:rPr>
        <w:t>：</w:t>
      </w:r>
    </w:p>
    <w:p w:rsidR="005A1857">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w:t>
      </w:r>
      <w:r>
        <w:rPr>
          <w:rFonts w:hint="eastAsia"/>
          <w:bCs/>
          <w:color w:val="000000" w:themeColor="text1"/>
          <w:sz w:val="21"/>
          <w:szCs w:val="21"/>
        </w:rPr>
        <w:t>GB/T 23331-2020/ISO50001:2018</w:t>
      </w:r>
      <w:r>
        <w:rPr>
          <w:rFonts w:hint="eastAsia"/>
          <w:bCs/>
          <w:color w:val="000000" w:themeColor="text1"/>
          <w:sz w:val="21"/>
          <w:szCs w:val="21"/>
        </w:rPr>
        <w:t>《能源管理体系要求及使用指南》</w:t>
      </w:r>
    </w:p>
    <w:p w:rsidR="005A1857">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初次审核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第一次监督审核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第二次监督审核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bl>
    <w:p w:rsidR="005A1857">
      <w:pPr>
        <w:pStyle w:val="BodyTextIndent"/>
        <w:spacing w:line="0" w:lineRule="atLeast"/>
        <w:ind w:firstLine="0"/>
        <w:rPr>
          <w:bCs/>
          <w:color w:val="000000" w:themeColor="text1"/>
          <w:sz w:val="21"/>
          <w:szCs w:val="21"/>
          <w:lang w:val="en-GB"/>
        </w:rPr>
      </w:pPr>
    </w:p>
    <w:sectPr w:rsidSect="005A1857">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7">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353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5A1857">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5A185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5A1857" w:rsidP="00DC0BB0">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A1857"/>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2286"/>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0BB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57"/>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5A1857"/>
    <w:pPr>
      <w:snapToGrid w:val="0"/>
      <w:spacing w:line="336" w:lineRule="auto"/>
      <w:ind w:firstLine="630"/>
    </w:pPr>
    <w:rPr>
      <w:sz w:val="32"/>
    </w:rPr>
  </w:style>
  <w:style w:type="paragraph" w:styleId="Footer">
    <w:name w:val="footer"/>
    <w:basedOn w:val="Normal"/>
    <w:link w:val="Char1"/>
    <w:uiPriority w:val="99"/>
    <w:unhideWhenUsed/>
    <w:qFormat/>
    <w:rsid w:val="005A1857"/>
    <w:pPr>
      <w:tabs>
        <w:tab w:val="center" w:pos="4153"/>
        <w:tab w:val="right" w:pos="8306"/>
      </w:tabs>
      <w:snapToGrid w:val="0"/>
      <w:jc w:val="left"/>
    </w:pPr>
    <w:rPr>
      <w:sz w:val="18"/>
      <w:szCs w:val="18"/>
    </w:rPr>
  </w:style>
  <w:style w:type="paragraph" w:styleId="Header">
    <w:name w:val="header"/>
    <w:basedOn w:val="Normal"/>
    <w:link w:val="Char0"/>
    <w:unhideWhenUsed/>
    <w:qFormat/>
    <w:rsid w:val="005A1857"/>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5A18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5A1857"/>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5A1857"/>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5A1857"/>
    <w:rPr>
      <w:rFonts w:ascii="Times New Roman" w:eastAsia="宋体" w:hAnsi="Times New Roman" w:cs="Times New Roman"/>
      <w:sz w:val="18"/>
      <w:szCs w:val="18"/>
    </w:rPr>
  </w:style>
  <w:style w:type="character" w:customStyle="1" w:styleId="CharChar1">
    <w:name w:val="Char Char1"/>
    <w:qFormat/>
    <w:locked/>
    <w:rsid w:val="005A1857"/>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5A1857"/>
  </w:style>
  <w:style w:type="paragraph" w:customStyle="1" w:styleId="Body9ptBold">
    <w:name w:val="Body 9pt Bold"/>
    <w:basedOn w:val="Normal"/>
    <w:qFormat/>
    <w:rsid w:val="005A1857"/>
    <w:pPr>
      <w:ind w:left="170"/>
    </w:pPr>
    <w:rPr>
      <w:b/>
      <w:sz w:val="18"/>
    </w:rPr>
  </w:style>
  <w:style w:type="paragraph" w:customStyle="1" w:styleId="Body8ptFeeder">
    <w:name w:val="Body 8pt Feeder"/>
    <w:basedOn w:val="Normal"/>
    <w:next w:val="Normal"/>
    <w:qFormat/>
    <w:rsid w:val="005A1857"/>
    <w:pPr>
      <w:spacing w:before="40" w:after="40"/>
      <w:ind w:left="284" w:right="284"/>
    </w:pPr>
    <w:rPr>
      <w:sz w:val="16"/>
    </w:rPr>
  </w:style>
  <w:style w:type="paragraph" w:customStyle="1" w:styleId="Body7pt">
    <w:name w:val="Body 7pt"/>
    <w:basedOn w:val="Normal"/>
    <w:qFormat/>
    <w:rsid w:val="005A1857"/>
    <w:pPr>
      <w:spacing w:before="40" w:after="40"/>
      <w:jc w:val="left"/>
    </w:pPr>
    <w:rPr>
      <w:sz w:val="14"/>
    </w:rPr>
  </w:style>
  <w:style w:type="paragraph" w:customStyle="1" w:styleId="Body9pt">
    <w:name w:val="Body 9pt"/>
    <w:basedOn w:val="Normal"/>
    <w:qFormat/>
    <w:rsid w:val="005A1857"/>
    <w:pPr>
      <w:spacing w:before="40" w:after="40"/>
    </w:pPr>
    <w:rPr>
      <w:sz w:val="18"/>
    </w:rPr>
  </w:style>
  <w:style w:type="paragraph" w:customStyle="1" w:styleId="Header14ptBoldCentered">
    <w:name w:val="Header 14pt Bold Centered"/>
    <w:basedOn w:val="Normal"/>
    <w:qFormat/>
    <w:rsid w:val="005A1857"/>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70</cp:revision>
  <cp:lastPrinted>2019-05-13T03:13:00Z</cp:lastPrinted>
  <dcterms:created xsi:type="dcterms:W3CDTF">2016-02-16T02:49:00Z</dcterms:created>
  <dcterms:modified xsi:type="dcterms:W3CDTF">2025-09-04T09:17:00Z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