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山西风雷钻具有限公司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20706-2023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2025年11月21日上午至2025年11月21日下午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61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