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20684-2024-EnMS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东电万合工程管理咨询（北京）有限公司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9111010631798030XR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东电万合工程管理咨询（北京）有限公司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北京市丰台区南三环西路16号2号楼10层1101室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北京市丰台区南三环西路16号2号楼10层1101室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EnMS:技术咨询（电网工程造价咨询）所涉及的能源管理活动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东电万合工程管理咨询（北京）有限公司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北京市丰台区南三环西路16号2号楼10层1101室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北京市丰台区南三环西路16号2号楼10层1101室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EnMS:技术咨询（电网工程造价咨询）所涉及的能源管理活动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155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