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20684-2024-EnMS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51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东电万合工程管理咨询（北京）有限公司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贾海平、吴太平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097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贾海平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2024-N1EnMS-1287023</w:t>
            </w:r>
          </w:p>
        </w:tc>
        <w:tc>
          <w:tcPr>
            <w:tcW w:w="3145" w:type="dxa"/>
            <w:vAlign w:val="center"/>
          </w:tcPr>
          <w:p w:rsidR="00142F5C" w:rsidP="00772D33">
            <w:pPr>
              <w:spacing w:line="360" w:lineRule="exact"/>
              <w:jc w:val="center"/>
              <w:rPr>
                <w:szCs w:val="21"/>
              </w:rPr>
            </w:pPr>
            <w:r>
              <w:t>2.9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吴太平</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2025-N0EnMS-1468194</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EnMS:技术咨询（电网工程造价咨询）所涉及的能源管理活动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北京市丰台区南三环西路16号2号楼10层1101室</w:t>
      </w:r>
    </w:p>
    <w:p w:rsidR="001F0A49">
      <w:pPr>
        <w:spacing w:line="360" w:lineRule="auto"/>
        <w:ind w:firstLine="420" w:firstLineChars="200"/>
      </w:pPr>
      <w:r>
        <w:rPr>
          <w:rFonts w:hint="eastAsia"/>
        </w:rPr>
        <w:t>办公地址：</w:t>
      </w:r>
      <w:r>
        <w:rPr>
          <w:rFonts w:hint="eastAsia"/>
        </w:rPr>
        <w:t>北京市丰台区南三环西路16号2号楼10层1101室</w:t>
      </w:r>
    </w:p>
    <w:p w:rsidR="001F0A49">
      <w:pPr>
        <w:spacing w:line="360" w:lineRule="auto"/>
        <w:ind w:firstLine="420" w:firstLineChars="200"/>
      </w:pPr>
      <w:r>
        <w:rPr>
          <w:rFonts w:hint="eastAsia"/>
        </w:rPr>
        <w:t>经营地址：</w:t>
      </w:r>
      <w:bookmarkStart w:id="12" w:name="生产地址"/>
      <w:bookmarkEnd w:id="12"/>
      <w:r>
        <w:rPr>
          <w:rFonts w:hint="eastAsia"/>
        </w:rPr>
        <w:t>北京市丰台区南三环西路16号2号楼10层1101室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东电万合工程管理咨询（北京）有限公司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贾海平、吴太平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483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