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bookmarkStart w:id="4" w:name="多场所情况"/>
            <w:r>
              <w:rPr>
                <w:sz w:val="21"/>
                <w:szCs w:val="21"/>
              </w:rPr>
              <w:t>河北省石家庄市赵县福美公馆三期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周世超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18630175883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25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2024年01月02日 上午至2024年01月03日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信息系统集成；软件开发及销售；安防工程施工；安防设备销售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28.07.01;29.09.01;33.02.01;33.02.04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</w:t>
            </w:r>
            <w:bookmarkStart w:id="32" w:name="_GoBack"/>
            <w:bookmarkEnd w:id="32"/>
            <w:r>
              <w:rPr>
                <w:sz w:val="21"/>
                <w:szCs w:val="21"/>
              </w:rPr>
              <w:t>01,29.09.01,33.02.01,33.02.04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805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2023-12-22T00:55:46Z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