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0113-2023-EO-2023</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南京梅特朗测控仪表有限公司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明利红</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91320102754124376E</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E:认可,O:认可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E：GB/T 24001-2016/ISO14001:2015,O：GB/T45001-2020 / ISO45001：2018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南京梅特朗测控仪表有限公司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南京市玄武区太平北路120-1号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江苏省南京市江宁区谷里工业园润谷路12号</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E：资质范围内的流量计、仪器仪表的生产、销售及售后服务所涉及场所的相关环境管理活动</w:t>
            </w:r>
          </w:p>
          <w:p w:rsidR="00F1039B">
            <w:pPr>
              <w:snapToGrid w:val="0"/>
              <w:spacing w:line="0" w:lineRule="atLeast"/>
              <w:jc w:val="left"/>
              <w:rPr>
                <w:sz w:val="21"/>
                <w:szCs w:val="21"/>
                <w:lang w:val="en-GB"/>
              </w:rPr>
            </w:pPr>
            <w:r>
              <w:rPr>
                <w:sz w:val="21"/>
                <w:szCs w:val="21"/>
                <w:lang w:val="en-GB"/>
              </w:rPr>
              <w:t>O：资质范围内的流量计、仪器仪表的生产、销售及售后服务所涉及场所的相关职业健康安全管理活动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南京梅特朗测控仪表有限公司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南京市玄武区太平北路120-1号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南京市江宁区谷里工业园润谷路12号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E：资质范围内的流量计、仪器仪表的生产、销售及售后服务所涉及场所的相关环境管理活动</w:t>
            </w:r>
          </w:p>
          <w:p w:rsidR="00E9533D" w:rsidP="00E9533D">
            <w:pPr>
              <w:snapToGrid w:val="0"/>
              <w:spacing w:line="0" w:lineRule="atLeast"/>
              <w:jc w:val="left"/>
              <w:rPr>
                <w:sz w:val="21"/>
                <w:szCs w:val="21"/>
                <w:lang w:val="en-GB"/>
              </w:rPr>
            </w:pPr>
            <w:r>
              <w:rPr>
                <w:sz w:val="21"/>
                <w:szCs w:val="21"/>
                <w:lang w:val="en-GB"/>
              </w:rPr>
              <w:t>O：资质范围内的流量计、仪器仪表的生产、销售及售后服务所涉及场所的相关职业健康安全管理活动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E:ISC-E-2023-1795-R,O:ISC-O-2023-1671-R</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南京市江宁区谷里工业园润谷路12号</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