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20645-2024-EnMS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66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浙江晶通新材料集团股份有限公司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王琳、杨子林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600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2022-N1EnMS-1254369</w:t>
            </w:r>
          </w:p>
        </w:tc>
        <w:tc>
          <w:tcPr>
            <w:tcW w:w="3145" w:type="dxa"/>
            <w:vAlign w:val="center"/>
          </w:tcPr>
          <w:p w:rsidR="00142F5C" w:rsidP="00772D33">
            <w:pPr>
              <w:spacing w:line="360" w:lineRule="exact"/>
              <w:jc w:val="center"/>
              <w:rPr>
                <w:szCs w:val="21"/>
              </w:rPr>
            </w:pPr>
            <w:r>
              <w:t>2.4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杨子林</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2025-N1EnMS-1059499</w:t>
            </w: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EnMS:半硬质聚氯乙烯复合块状地板、硬质聚氯乙烯石塑地板的设计开发和生产所涉及的能源管理活动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浙江省嘉兴市桐乡市河山镇德胜路38号</w:t>
      </w:r>
    </w:p>
    <w:p w:rsidR="001F0A49">
      <w:pPr>
        <w:spacing w:line="360" w:lineRule="auto"/>
        <w:ind w:firstLine="420" w:firstLineChars="200"/>
      </w:pPr>
      <w:r>
        <w:rPr>
          <w:rFonts w:hint="eastAsia"/>
        </w:rPr>
        <w:t>办公地址：</w:t>
      </w:r>
      <w:r>
        <w:rPr>
          <w:rFonts w:hint="eastAsia"/>
        </w:rPr>
        <w:t>浙江省嘉兴市桐乡市河山镇德胜路38号</w:t>
      </w:r>
    </w:p>
    <w:p w:rsidR="001F0A49">
      <w:pPr>
        <w:spacing w:line="360" w:lineRule="auto"/>
        <w:ind w:firstLine="420" w:firstLineChars="200"/>
      </w:pPr>
      <w:r>
        <w:rPr>
          <w:rFonts w:hint="eastAsia"/>
        </w:rPr>
        <w:t>经营地址：</w:t>
      </w:r>
      <w:bookmarkStart w:id="12" w:name="生产地址"/>
      <w:bookmarkEnd w:id="12"/>
      <w:r>
        <w:rPr>
          <w:rFonts w:hint="eastAsia"/>
        </w:rPr>
        <w:t>浙江省嘉兴市桐乡市河山镇德胜路38号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浙江晶通新材料集团股份有限公司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王琳、杨子林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673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