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北京力森德利电力科技有限公司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联系人"/>
            <w:r>
              <w:rPr>
                <w:rFonts w:ascii="方正仿宋简体" w:eastAsia="方正仿宋简体"/>
                <w:b/>
              </w:rPr>
              <w:t>李金奎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企业未能提供对清洗机器人供方“上海易则智能科技有限公司”进行评价的相关证据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drawing>
                <wp:inline distT="0" distB="0" distL="114300" distR="114300">
                  <wp:extent cx="950595" cy="512445"/>
                  <wp:effectExtent l="0" t="0" r="1905" b="825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9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审核组长：</w:t>
            </w:r>
            <w:r>
              <w:drawing>
                <wp:inline distT="0" distB="0" distL="114300" distR="114300">
                  <wp:extent cx="950595" cy="491490"/>
                  <wp:effectExtent l="0" t="0" r="1905" b="381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9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2020.4.28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2020.4.28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2020.4.28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both"/>
        <w:rPr>
          <w:rFonts w:eastAsia="方正仿宋简体"/>
          <w:b/>
        </w:rPr>
      </w:pPr>
      <w:bookmarkStart w:id="6" w:name="_GoBack"/>
      <w:bookmarkEnd w:id="6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2274A2"/>
    <w:rsid w:val="3ED43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acer</cp:lastModifiedBy>
  <cp:lastPrinted>2019-05-13T03:02:00Z</cp:lastPrinted>
  <dcterms:modified xsi:type="dcterms:W3CDTF">2020-04-29T01:41:32Z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