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德州联合石油科技股份有限公司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8346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