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20537-2023-Q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重庆炜铭机电设备有限公司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915001056220058423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重庆炜铭机电设备有限公司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重庆高新区白市驿镇农科大道66号附1196号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重庆高新区白市驿镇农科大道66号附1196号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Q:机械零部件加工、输送设备的制造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重庆炜铭机电设备有限公司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重庆高新区白市驿镇农科大道66号附1196号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重庆高新区白市驿镇农科大道66号附1196号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Q:机械零部件加工、输送设备的制造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9000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