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淄博华谨化工机械有限公司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8462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