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20495-2024-EnMS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209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正镶白旗额尔敦塔拉牛业有限公司白旗分公司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赵艳敏、陈文阁、郗文勇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149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赵艳敏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2023-N1EnMS-1299359</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陈文阁</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2024-N1EnMS-1034532</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2024-N0EnMS-1319383</w:t>
            </w:r>
          </w:p>
        </w:tc>
        <w:tc>
          <w:tcPr>
            <w:tcW w:w="3145" w:type="dxa"/>
            <w:vAlign w:val="center"/>
          </w:tcPr>
          <w:p>
            <w:pPr>
              <w:jc w:val="center"/>
            </w:pPr>
            <w:r>
              <w:t>2.10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2025年08月16日上午至2025年08月17日上午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EnMS:牛羊屠宰、加工所涉及的能源管理活动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内蒙古自治区锡林郭勒盟正镶白旗明安图镇朝格温都尔嘎查</w:t>
      </w:r>
    </w:p>
    <w:p w:rsidR="001F0A49">
      <w:pPr>
        <w:spacing w:line="360" w:lineRule="auto"/>
        <w:ind w:firstLine="420" w:firstLineChars="200"/>
      </w:pPr>
      <w:r>
        <w:rPr>
          <w:rFonts w:hint="eastAsia"/>
        </w:rPr>
        <w:t>办公地址：</w:t>
      </w:r>
      <w:r>
        <w:rPr>
          <w:rFonts w:hint="eastAsia"/>
        </w:rPr>
        <w:t>内蒙古自治区锡林郭勒盟正镶白旗G510与巴音宝力格街交叉口东北方向563米</w:t>
      </w:r>
    </w:p>
    <w:p w:rsidR="001F0A49">
      <w:pPr>
        <w:spacing w:line="360" w:lineRule="auto"/>
        <w:ind w:firstLine="420" w:firstLineChars="200"/>
      </w:pPr>
      <w:r>
        <w:rPr>
          <w:rFonts w:hint="eastAsia"/>
        </w:rPr>
        <w:t>经营地址：</w:t>
      </w:r>
      <w:bookmarkStart w:id="12" w:name="生产地址"/>
      <w:bookmarkEnd w:id="12"/>
      <w:r>
        <w:rPr>
          <w:rFonts w:hint="eastAsia"/>
        </w:rPr>
        <w:t>内蒙古自治区锡林郭勒盟正镶白旗G510与巴音宝力格街交叉口东北方向563米</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正镶白旗额尔敦塔拉牛业有限公司白旗分公司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赵艳敏、陈文阁、郗文勇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95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