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重庆国特新型节能建材有限公司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4</w:t>
            </w:r>
            <w:r>
              <w:rPr>
                <w:rFonts w:hint="eastAsia"/>
                <w:sz w:val="20"/>
                <w:lang w:eastAsia="zh-CN"/>
              </w:rPr>
              <w:t>月</w:t>
            </w:r>
            <w:r>
              <w:rPr>
                <w:rFonts w:hint="eastAsia"/>
                <w:sz w:val="20"/>
                <w:lang w:val="en-US" w:eastAsia="zh-CN"/>
              </w:rPr>
              <w:t>18日上午</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4</w:t>
            </w:r>
            <w:r>
              <w:rPr>
                <w:rFonts w:hint="eastAsia"/>
                <w:sz w:val="20"/>
                <w:lang w:eastAsia="zh-CN"/>
              </w:rPr>
              <w:t>月</w:t>
            </w:r>
            <w:r>
              <w:rPr>
                <w:rFonts w:hint="eastAsia"/>
                <w:sz w:val="20"/>
                <w:lang w:val="en-US" w:eastAsia="zh-CN"/>
              </w:rPr>
              <w:t>18日</w:t>
            </w:r>
            <w:r>
              <w:rPr>
                <w:rFonts w:hint="eastAsia"/>
                <w:sz w:val="20"/>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bookmarkStart w:id="4" w:name="_GoBack"/>
            <w:bookmarkEnd w:id="4"/>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2020.4.18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E35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2020-04-17T06:44:43Z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