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-177165</wp:posOffset>
            </wp:positionV>
            <wp:extent cx="6505575" cy="9020810"/>
            <wp:effectExtent l="0" t="0" r="9525" b="8890"/>
            <wp:wrapNone/>
            <wp:docPr id="2" name="图片 2" descr="新文档 2020-05-24 16.25.53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20-05-24 16.25.53_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>
              <w:rPr>
                <w:rFonts w:hint="eastAsia"/>
                <w:b/>
                <w:szCs w:val="21"/>
              </w:rPr>
              <w:t>Q:监查1,E:监查1,O:监查1</w:t>
            </w:r>
            <w:bookmarkEnd w:id="4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赣州市南康区威银家具有限公司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傅艳红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>化学品仓库储存有油漆、稀料、固化剂，但是未能提供相关</w:t>
            </w:r>
            <w:r>
              <w:rPr>
                <w:color w:val="000000"/>
                <w:sz w:val="24"/>
                <w:szCs w:val="24"/>
                <w:u w:val="none"/>
              </w:rPr>
              <w:t>MSDS</w:t>
            </w: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>，不符合要求。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-161925</wp:posOffset>
            </wp:positionV>
            <wp:extent cx="6492875" cy="9103360"/>
            <wp:effectExtent l="0" t="0" r="9525" b="2540"/>
            <wp:wrapNone/>
            <wp:docPr id="3" name="图片 3" descr="新文档 2020-05-24 16.25.53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20-05-24 16.25.53_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910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>未能提供化学品仓库储存有油漆、稀料、固化剂相关MSDS</w:t>
            </w:r>
            <w:r>
              <w:rPr>
                <w:rFonts w:hint="eastAsia"/>
                <w:color w:val="000000"/>
                <w:sz w:val="24"/>
                <w:szCs w:val="24"/>
                <w:u w:val="none"/>
                <w:lang w:val="en-US" w:eastAsia="zh-CN"/>
              </w:rPr>
              <w:t>.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>马上联系相关部门提供化学品仓库储存有油漆、稀料、固化剂相关MSDS。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>相关人员对学品仓库储存相关MSDS意识淡薄，没有认识到相关MSDS的重要性。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8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 xml:space="preserve">学习ISO 14001:2015标准  </w:t>
            </w:r>
            <w:r>
              <w:rPr>
                <w:rFonts w:hint="eastAsia"/>
                <w:color w:val="000000"/>
                <w:sz w:val="24"/>
                <w:szCs w:val="24"/>
                <w:u w:val="none"/>
                <w:lang w:val="en-US" w:eastAsia="zh-CN"/>
              </w:rPr>
              <w:t>8.1</w:t>
            </w: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 xml:space="preserve"> 条款</w:t>
            </w:r>
            <w:r>
              <w:rPr>
                <w:rFonts w:hint="eastAsia"/>
                <w:color w:val="000000"/>
                <w:sz w:val="24"/>
                <w:szCs w:val="24"/>
                <w:u w:val="none"/>
                <w:lang w:eastAsia="zh-CN"/>
              </w:rPr>
              <w:t>及</w:t>
            </w: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>ISO45001：2018标准</w:t>
            </w:r>
            <w:r>
              <w:rPr>
                <w:rFonts w:hint="eastAsia"/>
                <w:color w:val="000000"/>
                <w:sz w:val="24"/>
                <w:szCs w:val="24"/>
                <w:u w:val="none"/>
                <w:lang w:val="en-US" w:eastAsia="zh-CN"/>
              </w:rPr>
              <w:t>8.1</w:t>
            </w: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 xml:space="preserve">  条款相关要求；</w:t>
            </w:r>
          </w:p>
          <w:p>
            <w:pPr>
              <w:rPr>
                <w:rFonts w:hint="eastAsia"/>
                <w:color w:val="000000"/>
                <w:sz w:val="24"/>
                <w:szCs w:val="24"/>
                <w:u w:val="none"/>
              </w:rPr>
            </w:pPr>
          </w:p>
          <w:p>
            <w:pPr>
              <w:rPr>
                <w:rFonts w:hint="eastAsia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 xml:space="preserve">学习MSDS相关知识； 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>检查管理体系其他环节是否有类似事件发生，经检查，无类似不符合发生。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/>
                <w:color w:val="000000"/>
                <w:sz w:val="24"/>
                <w:szCs w:val="24"/>
                <w:u w:val="none"/>
              </w:rPr>
              <w:t>纠正措施有效。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  <w:r>
        <w:rPr>
          <w:rFonts w:ascii="宋体" w:hAnsi="宋体" w:eastAsia="宋体" w:cs="宋体"/>
          <w:b/>
          <w:i w:val="0"/>
          <w:color w:val="000000"/>
          <w:kern w:val="0"/>
          <w:sz w:val="48"/>
          <w:szCs w:val="48"/>
          <w:u w:val="none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-175895</wp:posOffset>
            </wp:positionV>
            <wp:extent cx="6103620" cy="9211310"/>
            <wp:effectExtent l="0" t="0" r="5080" b="8890"/>
            <wp:wrapNone/>
            <wp:docPr id="4" name="图片 4" descr="新文档 2020-05-24 16.25.53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20-05-24 16.25.53_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921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"/>
        <w:tblW w:w="97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59"/>
        <w:gridCol w:w="602"/>
        <w:gridCol w:w="3463"/>
        <w:gridCol w:w="1989"/>
        <w:gridCol w:w="240"/>
        <w:gridCol w:w="240"/>
        <w:gridCol w:w="240"/>
        <w:gridCol w:w="2442"/>
        <w:gridCol w:w="54"/>
        <w:gridCol w:w="186"/>
        <w:gridCol w:w="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1170" w:hRule="atLeast"/>
        </w:trPr>
        <w:tc>
          <w:tcPr>
            <w:tcW w:w="9475" w:type="dxa"/>
            <w:gridSpan w:val="8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615" w:lineRule="atLeast"/>
              <w:jc w:val="center"/>
              <w:textAlignment w:val="center"/>
              <w:rPr>
                <w:b/>
                <w:i w:val="0"/>
                <w:color w:val="000000"/>
                <w:sz w:val="48"/>
                <w:szCs w:val="48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48"/>
                <w:szCs w:val="48"/>
                <w:u w:val="none"/>
                <w:lang w:val="en-US" w:eastAsia="zh-CN" w:bidi="ar"/>
              </w:rPr>
              <w:t>固化剂(MSDS)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570" w:hRule="atLeast"/>
        </w:trPr>
        <w:tc>
          <w:tcPr>
            <w:tcW w:w="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产品标识</w:t>
            </w: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商品名：  MD、MD-1、MD-2、MD-T固化剂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45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成分</w:t>
            </w: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混合物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主要组分    CAS RN    含量%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******    ---    50~80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******    1330-20-7    15~25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******    71-36-3    5~15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45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危险性概述</w:t>
            </w: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危险性类别：第3.3类 健康危害：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侵入途径：吸入、皮肤、眼、误服 眼接触：可引起眼睛刺激、发红、流泪、视力模糊。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吸入：吸入蒸气可引起鼻和呼吸道刺激、头昏、虚弱、疲倦、恶心、头痛，严重者意识丧失。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皮肤：可引起皮肤刺激、皮炎、持续接触可引起皮肤皲裂和脱脂。 误服：可引起胃肠道刺激、恶心、呕吐、腹泻。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急救措施</w:t>
            </w: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眼睛接触：用流动清水冲洗15分钟，如仍感刺激，就医。 误服：饮足量温水，不要催吐，就医。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40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    入：迅速脱离现场至空气新鲜处，保持呼吸道通畅，如呼吸困难，给输氧，如呼吸停止，立即进行人工呼吸。就医。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皮肤接触：立即脱去污染的衣着，用大量流动清水和肥皂水或专用洗涤剂冲洗。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消防措施</w:t>
            </w: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燃烧性：易燃。 灭火剂：二氧化碳、干粉、泡沫。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灭火注意事项：用水喷雾冷却火场中的容器。消防员必须佩带通气式面罩或正压自给式呼吸器。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有害燃烧物：一氧化碳、二氧化碳、NOx等有毒烟雾。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630" w:hRule="atLeast"/>
        </w:trPr>
        <w:tc>
          <w:tcPr>
            <w:tcW w:w="2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</w:t>
            </w:r>
          </w:p>
        </w:tc>
        <w:tc>
          <w:tcPr>
            <w:tcW w:w="602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泄漏应急措施</w:t>
            </w: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对泄漏区进行通风，排除火种，避免吸入蒸气，大量泄漏用泡沫覆盖，降低蒸汽危害。用砂土或其它类似物质吸收。按环保部门的要求处置。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705" w:hRule="atLeast"/>
        </w:trPr>
        <w:tc>
          <w:tcPr>
            <w:tcW w:w="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七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作业与储存</w:t>
            </w: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操作注意事项：采用合理的通风，避免眼和皮肤接触。储存温度不宜超过30℃。空容器禁止动火切割。远离热源、火种，防止阳光直射。避免与强酸、强碱和氧化剂接触。分开存放，搬运时要轻装轻放，防止包装及容器损坏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防护措施</w:t>
            </w:r>
          </w:p>
        </w:tc>
        <w:tc>
          <w:tcPr>
            <w:tcW w:w="8614" w:type="dxa"/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作业场所职业接触限值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主要组分    TWA (mg/m3)    STEL(mg/m3)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******    ---    ---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******    50    100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******    100    200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工程控制：全面通风或局部排风。 身体防护：穿一般作业防护服。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呼吸系统防护：一般不需要特殊防护，高浓度接触时可佩戴通气式面罩或自吸过滤式防毒面具。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眼睛防护：戴化学安全防护眼镜。 手防护：戴防化学品手套。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b w:val="0"/>
                <w:i w:val="0"/>
                <w:color w:val="000000"/>
                <w:sz w:val="20"/>
                <w:szCs w:val="20"/>
                <w:u w:val="non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-596900</wp:posOffset>
                  </wp:positionH>
                  <wp:positionV relativeFrom="paragraph">
                    <wp:posOffset>-173990</wp:posOffset>
                  </wp:positionV>
                  <wp:extent cx="6106795" cy="9272270"/>
                  <wp:effectExtent l="0" t="0" r="1905" b="11430"/>
                  <wp:wrapNone/>
                  <wp:docPr id="6" name="图片 6" descr="新文档 2020-05-24 16.25.53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新文档 2020-05-24 16.25.53_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795" cy="927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其它防护：工作毕，淋浴更衣，避免长期反复接触。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九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理化特性</w:t>
            </w: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外观与性状： 浅黄色   闪点（℃）：24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相对密度（水=1 , g/cm3）约1.0 溶解性：可混溶于有机溶剂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稳定性和反应性</w:t>
            </w: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稳定性：稳定 禁忌物：强氧化剂、强酸、强碱。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聚合危害：不聚合 燃烧（分解）产物：一氧化碳、二氧化碳、NOx等有毒烟雾。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避免接触的条件：高温，火种。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十一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毒理学信息</w:t>
            </w:r>
          </w:p>
        </w:tc>
        <w:tc>
          <w:tcPr>
            <w:tcW w:w="3463" w:type="dxa"/>
            <w:tcBorders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急性毒性 ******（1330-20-7）：</w:t>
            </w:r>
          </w:p>
        </w:tc>
        <w:tc>
          <w:tcPr>
            <w:tcW w:w="1989" w:type="dxa"/>
            <w:tcBorders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工业品中常含有苯、甲苯等杂质，可同时出现杂质的毒作用。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63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人经口  LDLO ：50 mg/kg。</w:t>
            </w:r>
          </w:p>
        </w:tc>
        <w:tc>
          <w:tcPr>
            <w:tcW w:w="1989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******：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63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大鼠经口  LD50：4300 mg/kg。</w:t>
            </w:r>
          </w:p>
        </w:tc>
        <w:tc>
          <w:tcPr>
            <w:tcW w:w="1989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无数据。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63" w:type="dxa"/>
            <w:tcBorders>
              <w:top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小鼠经口  LDLO ：6 mg/kg。</w:t>
            </w:r>
          </w:p>
        </w:tc>
        <w:tc>
          <w:tcPr>
            <w:tcW w:w="1989" w:type="dxa"/>
            <w:tcBorders>
              <w:top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******（71-36-3）：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兔经皮  LD50：＞1700 mg/kg。</w:t>
            </w:r>
          </w:p>
        </w:tc>
        <w:tc>
          <w:tcPr>
            <w:tcW w:w="1989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大鼠经口  LD50：4360 mg/kg ；吸入LC50：24240mg/m3。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本品对皮肤粘膜的刺激作用较甲苯为强，高浓度时对中枢神经系统有麻醉作用。</w:t>
            </w:r>
          </w:p>
        </w:tc>
        <w:tc>
          <w:tcPr>
            <w:tcW w:w="1989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兔经皮  LD50：3400 mg/kg。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十二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生态学信息</w:t>
            </w: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无资料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十三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 废弃处置</w:t>
            </w:r>
          </w:p>
        </w:tc>
        <w:tc>
          <w:tcPr>
            <w:tcW w:w="34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废弃物性质：危险废物</w:t>
            </w:r>
          </w:p>
        </w:tc>
        <w:tc>
          <w:tcPr>
            <w:tcW w:w="19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废弃处置方法：用控制焚烧法处理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4" w:type="dxa"/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废弃注意事项：废弃物和容器必须按照国家固废法的一般要求弃置。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十四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运输</w:t>
            </w:r>
          </w:p>
        </w:tc>
        <w:tc>
          <w:tcPr>
            <w:tcW w:w="3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危险货物编号：CN No.1263；UN No.33646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包装类别：Ⅲ类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包装标志：易燃液体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包装方法：聚丙烯塑料桶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运输注意事项：远离火种、热源。与氧化剂隔离储运。轻装轻卸，防止容器渗漏。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十五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法规信息</w:t>
            </w:r>
          </w:p>
        </w:tc>
        <w:tc>
          <w:tcPr>
            <w:tcW w:w="3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危险化学品安全管理条例（国务院令第344号）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常用危险化学品的分类及标志(GB13690-92)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工作场所安全使用化学品的规定([1996] 劳化部)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危险货物运输包装通用技术条件(GB12463-90)</w:t>
            </w: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中华人民共和国固体废物污染环境防治法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十六</w:t>
            </w:r>
          </w:p>
        </w:tc>
        <w:tc>
          <w:tcPr>
            <w:tcW w:w="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center"/>
              <w:textAlignment w:val="center"/>
              <w:rPr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 其它信息</w:t>
            </w:r>
          </w:p>
        </w:tc>
        <w:tc>
          <w:tcPr>
            <w:tcW w:w="3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参考文献：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1、危险化学品安全管理条例，国务院， 2002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2、工作场所安全使用化学品的规定，劳动部、化工部， 1996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-546735</wp:posOffset>
                  </wp:positionH>
                  <wp:positionV relativeFrom="paragraph">
                    <wp:posOffset>-385445</wp:posOffset>
                  </wp:positionV>
                  <wp:extent cx="6385560" cy="8780780"/>
                  <wp:effectExtent l="0" t="0" r="2540" b="7620"/>
                  <wp:wrapNone/>
                  <wp:docPr id="7" name="图片 7" descr="新文档 2020-05-24 16.25.53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新文档 2020-05-24 16.25.53_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560" cy="878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15" w:lineRule="atLeast"/>
              <w:jc w:val="left"/>
              <w:textAlignment w:val="center"/>
              <w:rPr>
                <w:b w:val="0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3、危险化学品登记管理办法，国家经贸委，2002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/>
                <w:b w:val="0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259" w:type="dxa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2" w:type="dxa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63" w:type="dxa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989" w:type="dxa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0" w:type="dxa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0" w:type="dxa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0" w:type="dxa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96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0" w:type="dxa"/>
            <w:gridSpan w:val="2"/>
            <w:shd w:val="clear" w:color="auto" w:fill="auto"/>
            <w:noWrap/>
            <w:vAlign w:val="center"/>
          </w:tcPr>
          <w:p>
            <w:pPr>
              <w:rPr>
                <w:rFonts w:hint="eastAsia" w:ascii="宋体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稀料产品安全说明书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产品:稀释剂或稀料、溶剂油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1.物理和化学特性: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t>无色透明液体。稀料不溶于水，是石油的直接馏分，它同汽油一样，属易燃易爆危险品。稀料的冰点为零下116°C， 沸点为34.6°C， 闪点为零下45°C，爆炸极限为1. 85~36.5%。极易挥发。腐蚀皮肤。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2.危险性: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t>绝缘性较强，很容易产生静电。如果用塑料桶装稀料，反复摇晃后，内部可产生高达15000 伏的静电，一旦放电，即可酿成火灾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稀料对塑料还有软化作用，盛装稀料过久，塑料就会软化破口而渗漏出稀料，因而发生火灾的可能性就更大稀料极易挥发，在短时间内挥发的油气可以扩散到数米以外乃至数10米，如果遇到火种，即可着火当油气着火后，火焰会沿着气流相反的方向回火，从而引起猛烈的大面积燃烧。如果油气在较严实的房间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3.使用与保护: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t>运输和使用时使用乳胶手套等防护用品，禁止接触皮肤。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4.防护措施:</w:t>
      </w:r>
    </w:p>
    <w:p>
      <w:pPr>
        <w:ind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稀料使用场所，应该严格控制油气在空中的浓度,不得超过0.3毫克/升。一旦发现油气超标，应积极采取措施加强通风换气，降低其浓度，使之达不到爆炸浓度极限。运输稀料时，不得野蛮装卸，应轻装轻卸，防止摩擦、震荡。利用汽车运输时，应在贮罐尾部安装金属链条接地，以导除静电电荷，防止火灾的发生。在使用、贮存稀料的场所，不得有火源，安装的电器设备必须是防火防爆型的。不要用塑料桶盛装稀料，应用金属容器。输导稀料的导管不宜用塑料管，金属导管必须有良好的接地措施。利用稀料清洗涂装工具时，应格外小心，防止摩擦产生静电而引发火灾。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5.安全处理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运输、储存仓库、使用场所应配备足够的灭火设备，如干粉、二氧化碳、卤代烷灭火器等。发生稀料火灾，不可用水扑救，只能用化学灭火剂扑救。当灭火剂不够时，也可用沙土扑救。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-180975</wp:posOffset>
            </wp:positionV>
            <wp:extent cx="6385560" cy="8792845"/>
            <wp:effectExtent l="0" t="0" r="2540" b="8255"/>
            <wp:wrapNone/>
            <wp:docPr id="8" name="图片 8" descr="新文档 2020-05-24 16.25.53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文档 2020-05-24 16.25.53_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1135" cy="4540885"/>
            <wp:effectExtent l="0" t="0" r="1206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宋体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4902"/>
        </w:tabs>
        <w:spacing w:line="360" w:lineRule="auto"/>
        <w:ind w:right="56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-176530</wp:posOffset>
            </wp:positionV>
            <wp:extent cx="6385560" cy="9085580"/>
            <wp:effectExtent l="0" t="0" r="2540" b="7620"/>
            <wp:wrapNone/>
            <wp:docPr id="9" name="图片 9" descr="新文档 2020-05-24 16.25.53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20-05-24 16.25.53_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08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仿宋_GB2312"/>
          <w:kern w:val="0"/>
          <w:lang w:val="en-US" w:eastAsia="zh-CN"/>
        </w:rPr>
        <w:t xml:space="preserve">                    </w:t>
      </w:r>
      <w:r>
        <w:rPr>
          <w:rFonts w:hint="eastAsia"/>
          <w:b/>
          <w:bCs/>
          <w:sz w:val="28"/>
          <w:szCs w:val="28"/>
          <w:lang w:eastAsia="zh-CN"/>
        </w:rPr>
        <w:t>赣州市南康区威银家具有限公司</w:t>
      </w: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 w:ascii="宋体" w:hAnsi="宋体"/>
          <w:sz w:val="24"/>
          <w:lang w:eastAsia="zh-CN"/>
        </w:rPr>
        <w:t>JL/QEO</w:t>
      </w:r>
      <w:r>
        <w:rPr>
          <w:rFonts w:hint="eastAsia" w:ascii="宋体" w:hAnsi="宋体"/>
          <w:sz w:val="24"/>
        </w:rPr>
        <w:t>-</w:t>
      </w:r>
      <w:r>
        <w:rPr>
          <w:rFonts w:hint="eastAsia" w:ascii="宋体" w:hAnsi="宋体"/>
          <w:sz w:val="24"/>
          <w:lang w:val="en-US" w:eastAsia="zh-CN"/>
        </w:rPr>
        <w:t>09</w:t>
      </w:r>
    </w:p>
    <w:p>
      <w:pPr>
        <w:spacing w:after="120" w:line="560" w:lineRule="exact"/>
        <w:jc w:val="center"/>
      </w:pPr>
      <w:r>
        <w:rPr>
          <w:b/>
          <w:sz w:val="28"/>
        </w:rPr>
        <w:t xml:space="preserve">                 培训记录及培训效果评价表</w:t>
      </w:r>
      <w:r>
        <w:rPr>
          <w:rFonts w:hint="eastAsia"/>
          <w:b/>
          <w:sz w:val="28"/>
        </w:rPr>
        <w:t xml:space="preserve">               N</w:t>
      </w:r>
      <w:r>
        <w:rPr>
          <w:b/>
          <w:sz w:val="28"/>
        </w:rPr>
        <w:t>o: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570"/>
        <w:gridCol w:w="362"/>
        <w:gridCol w:w="209"/>
        <w:gridCol w:w="571"/>
        <w:gridCol w:w="455"/>
        <w:gridCol w:w="456"/>
        <w:gridCol w:w="456"/>
        <w:gridCol w:w="237"/>
        <w:gridCol w:w="243"/>
        <w:gridCol w:w="480"/>
        <w:gridCol w:w="193"/>
        <w:gridCol w:w="287"/>
        <w:gridCol w:w="564"/>
        <w:gridCol w:w="564"/>
        <w:gridCol w:w="565"/>
        <w:gridCol w:w="1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培训项目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szCs w:val="21"/>
              </w:rPr>
              <w:t xml:space="preserve">ISO 14001:2015标准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8.1</w:t>
            </w:r>
            <w:r>
              <w:rPr>
                <w:rFonts w:hint="eastAsia" w:ascii="宋体" w:hAnsi="宋体"/>
                <w:szCs w:val="21"/>
              </w:rPr>
              <w:t xml:space="preserve"> 条款</w:t>
            </w:r>
            <w:r>
              <w:rPr>
                <w:rFonts w:hint="eastAsia" w:ascii="宋体" w:hAnsi="宋体"/>
                <w:szCs w:val="21"/>
                <w:lang w:eastAsia="zh-CN"/>
              </w:rPr>
              <w:t>及</w:t>
            </w:r>
            <w:r>
              <w:rPr>
                <w:rFonts w:hint="eastAsia" w:ascii="宋体" w:hAnsi="宋体"/>
                <w:szCs w:val="21"/>
              </w:rPr>
              <w:t>ISO45001：2018标准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8.1</w:t>
            </w:r>
            <w:r>
              <w:rPr>
                <w:rFonts w:hint="eastAsia" w:ascii="宋体" w:hAnsi="宋体"/>
                <w:szCs w:val="21"/>
              </w:rPr>
              <w:t xml:space="preserve">  条款知识、概念培训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培训时间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2020.5.25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  点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公司会议室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培训讲师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8944" w:type="dxa"/>
            <w:gridSpan w:val="17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考核及评价记录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71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考评成绩</w:t>
            </w:r>
          </w:p>
        </w:tc>
        <w:tc>
          <w:tcPr>
            <w:tcW w:w="136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操作技能</w:t>
            </w:r>
          </w:p>
        </w:tc>
        <w:tc>
          <w:tcPr>
            <w:tcW w:w="144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质量、环保、安全意识</w:t>
            </w:r>
          </w:p>
        </w:tc>
        <w:tc>
          <w:tcPr>
            <w:tcW w:w="169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效果评价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评价人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卢和银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钟依兰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傅艳红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蔡立春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李春荣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both"/>
              <w:rPr>
                <w:rFonts w:hint="eastAsia" w:eastAsia="宋体"/>
                <w:lang w:eastAsia="zh-CN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8944" w:type="dxa"/>
            <w:gridSpan w:val="17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综合评价：</w:t>
            </w:r>
          </w:p>
          <w:p>
            <w:pPr>
              <w:rPr>
                <w:rFonts w:hint="eastAsia"/>
              </w:rPr>
            </w:pPr>
          </w:p>
          <w:p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以上人员经培训后，以口头问答的方式对其进行了考核，基本能明白标准的相关要求，培训达到预期的目的。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                                  评价人：李老师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编 制</w:t>
            </w:r>
          </w:p>
        </w:tc>
        <w:tc>
          <w:tcPr>
            <w:tcW w:w="3316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人事部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91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审 核</w:t>
            </w:r>
          </w:p>
        </w:tc>
        <w:tc>
          <w:tcPr>
            <w:tcW w:w="342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钟依兰</w:t>
            </w:r>
          </w:p>
        </w:tc>
      </w:tr>
    </w:tbl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362700" cy="8483600"/>
            <wp:effectExtent l="0" t="0" r="0" b="0"/>
            <wp:docPr id="10" name="图片 10" descr="a9ed83969aafee2156e40d881a1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ed83969aafee2156e40d881a117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391910" cy="4793615"/>
            <wp:effectExtent l="0" t="0" r="8890" b="6985"/>
            <wp:docPr id="11" name="图片 11" descr="fb4634c127e0e992bc8cedda596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b4634c127e0e992bc8cedda59691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仿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3073" o:spid="_x0000_s3073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3074" o:spid="_x0000_s3074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_x0000_s3074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0065C89"/>
    <w:rsid w:val="26DF3CD8"/>
    <w:rsid w:val="370F0A35"/>
    <w:rsid w:val="37ED042E"/>
    <w:rsid w:val="575C1218"/>
    <w:rsid w:val="5C4F07C7"/>
    <w:rsid w:val="631738C6"/>
    <w:rsid w:val="79DF4B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5</TotalTime>
  <ScaleCrop>false</ScaleCrop>
  <LinksUpToDate>false</LinksUpToDate>
  <CharactersWithSpaces>730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小小</cp:lastModifiedBy>
  <cp:lastPrinted>2019-05-13T03:02:00Z</cp:lastPrinted>
  <dcterms:modified xsi:type="dcterms:W3CDTF">2020-05-24T09:24:50Z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