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0034-2019-QEO-2020</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赤峰首安电力建设有限公司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赤峰市松山区临潢大街南、松州路西香格里拉国际城小区27-1-01143、011412、011413、01147、01148</w:t>
      </w:r>
      <w:bookmarkEnd w:id="3"/>
      <w:r>
        <w:rPr>
          <w:rFonts w:hint="eastAsia"/>
          <w:b/>
          <w:color w:val="000000" w:themeColor="text1"/>
          <w:sz w:val="22"/>
          <w:szCs w:val="22"/>
        </w:rPr>
        <w:t>邮编</w:t>
      </w:r>
      <w:r>
        <w:rPr>
          <w:rFonts w:hint="eastAsia" w:ascii="宋体" w:hAnsi="宋体"/>
          <w:b/>
          <w:color w:val="000000" w:themeColor="text1"/>
          <w:sz w:val="22"/>
          <w:szCs w:val="22"/>
        </w:rPr>
        <w:t>:</w:t>
      </w:r>
      <w:bookmarkStart w:id="4" w:name="注册邮编"/>
      <w:r>
        <w:rPr>
          <w:b/>
          <w:color w:val="000000" w:themeColor="text1"/>
          <w:sz w:val="22"/>
          <w:szCs w:val="22"/>
          <w:u w:val="single"/>
        </w:rPr>
        <w:t>024001</w:t>
      </w:r>
      <w:bookmarkEnd w:id="4"/>
    </w:p>
    <w:p>
      <w:pPr>
        <w:pStyle w:val="2"/>
        <w:keepNext w:val="0"/>
        <w:keepLines w:val="0"/>
        <w:pageBreakBefore w:val="0"/>
        <w:widowControl w:val="0"/>
        <w:kinsoku/>
        <w:wordWrap/>
        <w:overflowPunct/>
        <w:topLinePunct w:val="0"/>
        <w:autoSpaceDE/>
        <w:autoSpaceDN/>
        <w:bidi w:val="0"/>
        <w:adjustRightInd/>
        <w:snapToGrid w:val="0"/>
        <w:spacing w:line="32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color w:val="000000" w:themeColor="text1"/>
          <w:sz w:val="22"/>
          <w:szCs w:val="22"/>
          <w:u w:val="single"/>
        </w:rPr>
      </w:pPr>
      <w:r>
        <w:rPr>
          <w:rFonts w:hint="eastAsia"/>
          <w:b/>
          <w:color w:val="000000" w:themeColor="text1"/>
          <w:sz w:val="22"/>
          <w:szCs w:val="22"/>
        </w:rPr>
        <w:t>组织经营地址(中文)：</w:t>
      </w:r>
      <w:bookmarkStart w:id="5" w:name="办公地址"/>
      <w:r>
        <w:rPr>
          <w:rFonts w:hint="eastAsia"/>
          <w:b/>
          <w:color w:val="000000" w:themeColor="text1"/>
          <w:sz w:val="22"/>
          <w:szCs w:val="22"/>
        </w:rPr>
        <w:t>赤峰市松山区临潢大街南、松州路西香格里拉国际城小区27-1-01143、011412、011413、01147、01148</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办公邮编"/>
      <w:r>
        <w:rPr>
          <w:b/>
          <w:color w:val="000000" w:themeColor="text1"/>
          <w:sz w:val="22"/>
          <w:szCs w:val="22"/>
          <w:u w:val="single"/>
        </w:rPr>
        <w:t>024001</w:t>
      </w:r>
      <w:bookmarkEnd w:id="6"/>
    </w:p>
    <w:p>
      <w:pPr>
        <w:pStyle w:val="2"/>
        <w:keepNext w:val="0"/>
        <w:keepLines w:val="0"/>
        <w:pageBreakBefore w:val="0"/>
        <w:widowControl w:val="0"/>
        <w:kinsoku/>
        <w:wordWrap/>
        <w:overflowPunct/>
        <w:topLinePunct w:val="0"/>
        <w:autoSpaceDE/>
        <w:autoSpaceDN/>
        <w:bidi w:val="0"/>
        <w:adjustRightInd/>
        <w:snapToGrid w:val="0"/>
        <w:spacing w:line="320" w:lineRule="exact"/>
        <w:ind w:firstLine="663" w:firstLineChars="300"/>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bookmarkStart w:id="7" w:name="办公地址Add"/>
      <w:r>
        <w:rPr>
          <w:rFonts w:hint="eastAsia"/>
          <w:b/>
          <w:color w:val="000000" w:themeColor="text1"/>
          <w:sz w:val="22"/>
          <w:szCs w:val="22"/>
        </w:rPr>
        <w:t>赤峰市松山区临潢大街南、松州路西香格里拉国际城小区27-1-01143、011412、011413、01147、01148</w:t>
      </w:r>
      <w:bookmarkEnd w:id="7"/>
      <w:r>
        <w:rPr>
          <w:rFonts w:hint="eastAsia"/>
          <w:b/>
          <w:color w:val="000000" w:themeColor="text1"/>
          <w:sz w:val="22"/>
          <w:szCs w:val="22"/>
        </w:rPr>
        <w:t>邮编</w:t>
      </w:r>
      <w:r>
        <w:rPr>
          <w:rFonts w:hint="eastAsia" w:ascii="宋体" w:hAnsi="宋体"/>
          <w:b/>
          <w:color w:val="000000" w:themeColor="text1"/>
          <w:sz w:val="22"/>
          <w:szCs w:val="22"/>
        </w:rPr>
        <w:t>:</w:t>
      </w:r>
      <w:bookmarkStart w:id="8" w:name="办公邮编Add"/>
      <w:r>
        <w:rPr>
          <w:b/>
          <w:color w:val="000000" w:themeColor="text1"/>
          <w:sz w:val="22"/>
          <w:szCs w:val="22"/>
        </w:rPr>
        <w:t>024001</w:t>
      </w:r>
      <w:bookmarkEnd w:id="8"/>
    </w:p>
    <w:p>
      <w:pPr>
        <w:pStyle w:val="2"/>
        <w:keepNext w:val="0"/>
        <w:keepLines w:val="0"/>
        <w:pageBreakBefore w:val="0"/>
        <w:widowControl w:val="0"/>
        <w:kinsoku/>
        <w:wordWrap/>
        <w:overflowPunct/>
        <w:topLinePunct w:val="0"/>
        <w:autoSpaceDE/>
        <w:autoSpaceDN/>
        <w:bidi w:val="0"/>
        <w:adjustRightInd/>
        <w:snapToGrid w:val="0"/>
        <w:spacing w:line="32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9" w:name="机构代码"/>
      <w:r>
        <w:rPr>
          <w:rFonts w:hint="eastAsia"/>
          <w:b/>
          <w:color w:val="000000" w:themeColor="text1"/>
          <w:sz w:val="22"/>
          <w:szCs w:val="22"/>
        </w:rPr>
        <w:t>91150404329080659C</w:t>
      </w:r>
      <w:bookmarkEnd w:id="9"/>
      <w:r>
        <w:rPr>
          <w:rFonts w:hint="eastAsia"/>
          <w:b/>
          <w:color w:val="000000" w:themeColor="text1"/>
          <w:sz w:val="22"/>
          <w:szCs w:val="22"/>
        </w:rPr>
        <w:t>传真：</w:t>
      </w:r>
      <w:bookmarkStart w:id="10" w:name="联系人传真"/>
      <w:bookmarkEnd w:id="10"/>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1" w:name="联系人电话"/>
      <w:r>
        <w:rPr>
          <w:b/>
          <w:color w:val="000000" w:themeColor="text1"/>
          <w:sz w:val="22"/>
          <w:szCs w:val="22"/>
          <w:u w:val="single"/>
        </w:rPr>
        <w:t>17547693689</w:t>
      </w:r>
      <w:bookmarkEnd w:id="11"/>
    </w:p>
    <w:p>
      <w:pPr>
        <w:pStyle w:val="2"/>
        <w:spacing w:beforeLines="50" w:line="240" w:lineRule="exact"/>
        <w:ind w:firstLine="0"/>
        <w:rPr>
          <w:b/>
          <w:color w:val="000000" w:themeColor="text1"/>
          <w:sz w:val="22"/>
          <w:szCs w:val="22"/>
          <w:u w:val="single"/>
        </w:rPr>
      </w:pPr>
      <w:r>
        <w:rPr>
          <w:rFonts w:hint="eastAsia"/>
          <w:b/>
          <w:color w:val="000000" w:themeColor="text1"/>
          <w:sz w:val="22"/>
          <w:szCs w:val="22"/>
        </w:rPr>
        <w:t>法人代表：</w:t>
      </w:r>
      <w:bookmarkStart w:id="12" w:name="法人"/>
      <w:r>
        <w:rPr>
          <w:rFonts w:ascii="宋体" w:hAnsi="宋体"/>
          <w:b/>
          <w:sz w:val="21"/>
          <w:szCs w:val="21"/>
        </w:rPr>
        <w:t>张勤</w:t>
      </w:r>
      <w:bookmarkEnd w:id="12"/>
      <w:r>
        <w:rPr>
          <w:rFonts w:hint="eastAsia" w:ascii="宋体" w:hAnsi="宋体"/>
          <w:b/>
          <w:sz w:val="21"/>
          <w:szCs w:val="21"/>
          <w:lang w:val="en-US" w:eastAsia="zh-CN"/>
        </w:rPr>
        <w:t xml:space="preserve">   </w:t>
      </w:r>
      <w:r>
        <w:rPr>
          <w:rFonts w:hint="eastAsia"/>
          <w:b/>
          <w:color w:val="000000" w:themeColor="text1"/>
          <w:sz w:val="22"/>
          <w:szCs w:val="22"/>
        </w:rPr>
        <w:t>管代/联系人(职务)：</w:t>
      </w:r>
      <w:r>
        <w:rPr>
          <w:rFonts w:hint="eastAsia"/>
          <w:b/>
          <w:color w:val="000000" w:themeColor="text1"/>
          <w:sz w:val="22"/>
          <w:szCs w:val="22"/>
          <w:lang w:val="en-US" w:eastAsia="zh-CN"/>
        </w:rPr>
        <w:t xml:space="preserve">张弛 </w:t>
      </w:r>
      <w:r>
        <w:rPr>
          <w:rFonts w:hint="eastAsia"/>
          <w:b/>
          <w:color w:val="000000" w:themeColor="text1"/>
          <w:sz w:val="22"/>
          <w:szCs w:val="22"/>
        </w:rPr>
        <w:t>组织人数：</w:t>
      </w:r>
      <w:bookmarkStart w:id="13" w:name="体系人数"/>
      <w:r>
        <w:rPr>
          <w:b/>
          <w:color w:val="000000" w:themeColor="text1"/>
          <w:sz w:val="22"/>
          <w:szCs w:val="22"/>
          <w:u w:val="single"/>
        </w:rPr>
        <w:t>Q:54,E:54,O:54</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r>
        <w:rPr>
          <w:rFonts w:hint="eastAsia" w:ascii="宋体" w:hAnsi="宋体"/>
          <w:b/>
          <w:color w:val="000000" w:themeColor="text1"/>
          <w:sz w:val="22"/>
          <w:szCs w:val="22"/>
          <w:u w:val="single"/>
        </w:rPr>
        <w:sym w:font="Wingdings 2" w:char="0052"/>
      </w:r>
      <w:r>
        <w:rPr>
          <w:rFonts w:hint="eastAsia" w:ascii="宋体" w:hAnsi="宋体"/>
          <w:b/>
          <w:color w:val="000000" w:themeColor="text1"/>
          <w:sz w:val="22"/>
          <w:szCs w:val="22"/>
          <w:u w:val="single"/>
        </w:rPr>
        <w:t xml:space="preserve"> GB/T 19001-2016 idt ISO 9001:2015标准 (不适用：</w:t>
      </w:r>
      <w:r>
        <w:rPr>
          <w:rFonts w:hint="eastAsia" w:ascii="宋体" w:hAnsi="宋体"/>
          <w:b/>
          <w:color w:val="000000" w:themeColor="text1"/>
          <w:sz w:val="22"/>
          <w:szCs w:val="22"/>
          <w:u w:val="single"/>
          <w:lang w:val="en-US" w:eastAsia="zh-CN"/>
        </w:rPr>
        <w:t>8.3</w:t>
      </w:r>
      <w:r>
        <w:rPr>
          <w:rFonts w:hint="eastAsia" w:ascii="宋体" w:hAnsi="宋体"/>
          <w:b/>
          <w:color w:val="000000" w:themeColor="text1"/>
          <w:sz w:val="22"/>
          <w:szCs w:val="22"/>
          <w:u w:val="single"/>
        </w:rPr>
        <w:t>条款)</w:t>
      </w:r>
    </w:p>
    <w:p>
      <w:pPr>
        <w:pStyle w:val="2"/>
        <w:spacing w:line="240" w:lineRule="auto"/>
        <w:ind w:firstLine="1078" w:firstLineChars="488"/>
        <w:rPr>
          <w:rFonts w:ascii="宋体" w:hAnsi="宋体"/>
          <w:b/>
          <w:color w:val="000000" w:themeColor="text1"/>
          <w:sz w:val="22"/>
          <w:szCs w:val="22"/>
          <w:u w:val="single"/>
        </w:rPr>
      </w:pPr>
      <w:bookmarkStart w:id="14" w:name="QJ勾选"/>
      <w:r>
        <w:rPr>
          <w:rFonts w:hint="eastAsia" w:ascii="宋体" w:hAnsi="宋体"/>
          <w:b/>
          <w:color w:val="000000" w:themeColor="text1"/>
          <w:sz w:val="22"/>
          <w:szCs w:val="22"/>
          <w:u w:val="single"/>
        </w:rPr>
        <w:t>□</w:t>
      </w:r>
      <w:bookmarkEnd w:id="14"/>
      <w:r>
        <w:rPr>
          <w:rFonts w:hint="eastAsia" w:ascii="宋体" w:hAnsi="宋体"/>
          <w:b/>
          <w:color w:val="000000" w:themeColor="text1"/>
          <w:sz w:val="22"/>
          <w:szCs w:val="22"/>
          <w:u w:val="single"/>
        </w:rPr>
        <w:t xml:space="preserve"> GB/T 50430-2017 (不适用：  条款)；</w:t>
      </w:r>
    </w:p>
    <w:p>
      <w:pPr>
        <w:pStyle w:val="2"/>
        <w:spacing w:line="240" w:lineRule="auto"/>
        <w:ind w:firstLine="1078" w:firstLineChars="488"/>
        <w:rPr>
          <w:rFonts w:ascii="宋体" w:hAnsi="宋体"/>
          <w:b/>
          <w:color w:val="000000" w:themeColor="text1"/>
          <w:sz w:val="22"/>
          <w:szCs w:val="22"/>
          <w:u w:val="single"/>
        </w:rPr>
      </w:pPr>
      <w:r>
        <w:rPr>
          <w:rFonts w:hint="eastAsia" w:ascii="宋体" w:hAnsi="宋体"/>
          <w:b/>
          <w:color w:val="000000" w:themeColor="text1"/>
          <w:sz w:val="22"/>
          <w:szCs w:val="22"/>
          <w:u w:val="single"/>
        </w:rPr>
        <w:sym w:font="Wingdings 2" w:char="0052"/>
      </w:r>
      <w:r>
        <w:rPr>
          <w:rFonts w:hint="eastAsia" w:ascii="宋体" w:hAnsi="宋体"/>
          <w:b/>
          <w:color w:val="000000" w:themeColor="text1"/>
          <w:sz w:val="22"/>
          <w:szCs w:val="22"/>
          <w:u w:val="single"/>
        </w:rPr>
        <w:t xml:space="preserve"> GB/T 24001-2016 idt ISO 14001:2015标准；</w:t>
      </w:r>
    </w:p>
    <w:p>
      <w:pPr>
        <w:pStyle w:val="2"/>
        <w:spacing w:line="240" w:lineRule="auto"/>
        <w:ind w:firstLine="1078" w:firstLineChars="488"/>
        <w:rPr>
          <w:rFonts w:ascii="宋体" w:hAnsi="宋体"/>
          <w:b/>
          <w:color w:val="000000" w:themeColor="text1"/>
          <w:sz w:val="22"/>
          <w:szCs w:val="22"/>
          <w:u w:val="single"/>
        </w:rPr>
      </w:pPr>
      <w:r>
        <w:rPr>
          <w:rFonts w:hint="eastAsia" w:ascii="宋体" w:hAnsi="宋体"/>
          <w:b/>
          <w:color w:val="000000" w:themeColor="text1"/>
          <w:sz w:val="22"/>
          <w:szCs w:val="22"/>
          <w:u w:val="single"/>
        </w:rPr>
        <w:t>□ GB/T 28001-2011 idt OHS</w:t>
      </w:r>
      <w:r>
        <w:rPr>
          <w:rFonts w:ascii="宋体" w:hAnsi="宋体"/>
          <w:b/>
          <w:color w:val="000000" w:themeColor="text1"/>
          <w:sz w:val="22"/>
          <w:szCs w:val="22"/>
          <w:u w:val="single"/>
        </w:rPr>
        <w:t>M</w:t>
      </w:r>
      <w:r>
        <w:rPr>
          <w:rFonts w:hint="eastAsia" w:ascii="宋体" w:hAnsi="宋体"/>
          <w:b/>
          <w:color w:val="000000" w:themeColor="text1"/>
          <w:sz w:val="22"/>
          <w:szCs w:val="22"/>
          <w:u w:val="single"/>
        </w:rPr>
        <w:t>S 18001:2007标准；</w:t>
      </w:r>
    </w:p>
    <w:p>
      <w:pPr>
        <w:pStyle w:val="2"/>
        <w:spacing w:line="240" w:lineRule="auto"/>
        <w:ind w:firstLine="1078" w:firstLineChars="488"/>
        <w:rPr>
          <w:rFonts w:ascii="宋体" w:hAnsi="宋体"/>
          <w:b/>
          <w:color w:val="000000" w:themeColor="text1"/>
          <w:sz w:val="22"/>
          <w:szCs w:val="22"/>
          <w:u w:val="single"/>
        </w:rPr>
      </w:pPr>
      <w:r>
        <w:rPr>
          <w:rFonts w:hint="eastAsia" w:ascii="宋体" w:hAnsi="宋体"/>
          <w:b/>
          <w:color w:val="000000" w:themeColor="text1"/>
          <w:sz w:val="22"/>
          <w:szCs w:val="22"/>
          <w:u w:val="single"/>
        </w:rPr>
        <w:sym w:font="Wingdings 2" w:char="0052"/>
      </w:r>
      <w:r>
        <w:rPr>
          <w:rFonts w:hint="eastAsia" w:ascii="宋体" w:hAnsi="宋体"/>
          <w:b/>
          <w:color w:val="000000" w:themeColor="text1"/>
          <w:sz w:val="22"/>
          <w:szCs w:val="22"/>
          <w:u w:val="single"/>
        </w:rPr>
        <w:t xml:space="preserve">  GB/T </w:t>
      </w:r>
      <w:r>
        <w:rPr>
          <w:rFonts w:hint="eastAsia" w:ascii="宋体" w:hAnsi="宋体"/>
          <w:b/>
          <w:color w:val="000000" w:themeColor="text1"/>
          <w:sz w:val="22"/>
          <w:szCs w:val="22"/>
          <w:u w:val="single"/>
          <w:lang w:val="en-US" w:eastAsia="zh-CN"/>
        </w:rPr>
        <w:t>45</w:t>
      </w:r>
      <w:r>
        <w:rPr>
          <w:rFonts w:hint="eastAsia" w:ascii="宋体" w:hAnsi="宋体"/>
          <w:b/>
          <w:color w:val="000000" w:themeColor="text1"/>
          <w:sz w:val="22"/>
          <w:szCs w:val="22"/>
          <w:u w:val="single"/>
        </w:rPr>
        <w:t>001-20</w:t>
      </w:r>
      <w:r>
        <w:rPr>
          <w:rFonts w:hint="eastAsia" w:ascii="宋体" w:hAnsi="宋体"/>
          <w:b/>
          <w:color w:val="000000" w:themeColor="text1"/>
          <w:sz w:val="22"/>
          <w:szCs w:val="22"/>
          <w:u w:val="single"/>
          <w:lang w:val="en-US" w:eastAsia="zh-CN"/>
        </w:rPr>
        <w:t>20</w:t>
      </w:r>
      <w:r>
        <w:rPr>
          <w:rFonts w:hint="eastAsia" w:ascii="宋体" w:hAnsi="宋体"/>
          <w:b/>
          <w:color w:val="000000" w:themeColor="text1"/>
          <w:sz w:val="22"/>
          <w:szCs w:val="22"/>
          <w:u w:val="single"/>
        </w:rPr>
        <w:t xml:space="preserve"> idtISO45001:2018；</w:t>
      </w:r>
    </w:p>
    <w:p>
      <w:pPr>
        <w:pStyle w:val="2"/>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Q:监查1,E:监查1,O:监查1</w:t>
      </w:r>
      <w:bookmarkEnd w:id="15"/>
      <w:r>
        <w:rPr>
          <w:rFonts w:hint="eastAsia"/>
          <w:b/>
          <w:color w:val="000000" w:themeColor="text1"/>
          <w:spacing w:val="-2"/>
          <w:sz w:val="22"/>
          <w:szCs w:val="22"/>
        </w:rPr>
        <w:t>换版</w:t>
      </w:r>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rPr>
          <w:b/>
          <w:color w:val="000000" w:themeColor="text1"/>
          <w:sz w:val="22"/>
          <w:szCs w:val="22"/>
          <w:u w:val="single"/>
        </w:rPr>
      </w:pPr>
      <w:r>
        <w:rPr>
          <w:rFonts w:hint="eastAsia" w:ascii="宋体" w:hAnsi="宋体"/>
          <w:b/>
          <w:color w:val="000000" w:themeColor="text1"/>
          <w:sz w:val="22"/>
          <w:szCs w:val="22"/>
        </w:rPr>
        <w:t>■</w:t>
      </w:r>
      <w:r>
        <w:rPr>
          <w:rFonts w:hint="eastAsia"/>
          <w:b/>
          <w:color w:val="000000" w:themeColor="text1"/>
          <w:sz w:val="22"/>
          <w:szCs w:val="22"/>
        </w:rPr>
        <w:t>QMS□5</w:t>
      </w:r>
      <w:r>
        <w:rPr>
          <w:b/>
          <w:color w:val="000000" w:themeColor="text1"/>
          <w:sz w:val="22"/>
          <w:szCs w:val="22"/>
        </w:rPr>
        <w:t>0430</w:t>
      </w:r>
      <w:r>
        <w:rPr>
          <w:rFonts w:hint="eastAsia"/>
          <w:b/>
          <w:color w:val="000000" w:themeColor="text1"/>
          <w:sz w:val="22"/>
          <w:szCs w:val="22"/>
        </w:rPr>
        <w:t>覆盖范围（中文）：</w:t>
      </w:r>
      <w:bookmarkStart w:id="16" w:name="审核范围"/>
      <w:r>
        <w:rPr>
          <w:sz w:val="20"/>
        </w:rPr>
        <w:t>资质范围内电力设施的承修、承装、承试及相关服务；资质范围内10KV高压开关柜、分支箱、变压器、低压抽出式开关设备、箱式变电站、低压无功补偿装置的制造及相关服务。</w:t>
      </w:r>
      <w:bookmarkEnd w:id="16"/>
    </w:p>
    <w:p>
      <w:pPr>
        <w:rPr>
          <w:sz w:val="20"/>
        </w:rPr>
      </w:pPr>
      <w:r>
        <w:rPr>
          <w:rFonts w:hint="eastAsia" w:ascii="宋体" w:hAnsi="宋体"/>
          <w:b/>
          <w:color w:val="000000" w:themeColor="text1"/>
          <w:sz w:val="22"/>
          <w:szCs w:val="22"/>
        </w:rPr>
        <w:t>■</w:t>
      </w:r>
      <w:r>
        <w:rPr>
          <w:rFonts w:hint="eastAsia"/>
          <w:b/>
          <w:color w:val="000000" w:themeColor="text1"/>
          <w:sz w:val="22"/>
          <w:szCs w:val="22"/>
        </w:rPr>
        <w:t>EMS覆盖范围（中文）：</w:t>
      </w:r>
      <w:r>
        <w:rPr>
          <w:sz w:val="20"/>
        </w:rPr>
        <w:t>资质范围内电力设施的承修、承装、承试及相关服务；资质范围内10KV高压开关柜、分支箱、变压器、低压抽出式开关设备、箱式变电站、低压无功补偿装置的制造及相关服务所涉及的相关环境管理活动。</w:t>
      </w:r>
    </w:p>
    <w:p>
      <w:pPr>
        <w:pStyle w:val="2"/>
        <w:spacing w:line="240" w:lineRule="auto"/>
        <w:ind w:firstLine="0"/>
        <w:rPr>
          <w:b/>
          <w:color w:val="000000" w:themeColor="text1"/>
          <w:sz w:val="22"/>
          <w:szCs w:val="22"/>
          <w:u w:val="single"/>
        </w:rPr>
      </w:pPr>
      <w:r>
        <w:rPr>
          <w:rFonts w:hint="eastAsia" w:ascii="宋体" w:hAnsi="宋体"/>
          <w:b/>
          <w:color w:val="000000" w:themeColor="text1"/>
          <w:sz w:val="22"/>
          <w:szCs w:val="22"/>
        </w:rPr>
        <w:t>■</w:t>
      </w:r>
      <w:r>
        <w:rPr>
          <w:rFonts w:hint="eastAsia"/>
          <w:b/>
          <w:color w:val="000000" w:themeColor="text1"/>
          <w:sz w:val="22"/>
          <w:szCs w:val="22"/>
        </w:rPr>
        <w:t>OHSMS覆盖范围（中文）</w:t>
      </w:r>
      <w:r>
        <w:rPr>
          <w:sz w:val="20"/>
        </w:rPr>
        <w:t>：资质范围内电力设施的承修、承装、承试及相关服务；资质范围内10KV高压开关柜、分支箱、变压器、低压抽出式开关设备、箱式变电站、低压无功补偿装置的制造及相关服务所涉及的相关职业健康安全管理活动。</w:t>
      </w:r>
    </w:p>
    <w:p>
      <w:pPr>
        <w:pStyle w:val="2"/>
        <w:spacing w:line="240" w:lineRule="auto"/>
        <w:ind w:firstLine="0"/>
        <w:rPr>
          <w:b/>
          <w:color w:val="000000" w:themeColor="text1"/>
          <w:sz w:val="22"/>
          <w:szCs w:val="22"/>
          <w:u w:val="single"/>
        </w:rPr>
      </w:pPr>
      <w:r>
        <w:rPr>
          <w:rFonts w:hint="eastAsia"/>
          <w:b/>
          <w:color w:val="000000" w:themeColor="text1"/>
          <w:sz w:val="22"/>
          <w:szCs w:val="22"/>
        </w:rPr>
        <w:t>□QMS□5</w:t>
      </w:r>
      <w:r>
        <w:rPr>
          <w:b/>
          <w:color w:val="000000" w:themeColor="text1"/>
          <w:sz w:val="22"/>
          <w:szCs w:val="22"/>
        </w:rPr>
        <w:t>0430</w:t>
      </w:r>
      <w:r>
        <w:rPr>
          <w:rFonts w:hint="eastAsia"/>
          <w:b/>
          <w:color w:val="000000" w:themeColor="text1"/>
          <w:sz w:val="22"/>
          <w:szCs w:val="22"/>
        </w:rPr>
        <w:t>（英文：）：</w:t>
      </w: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ascii="方正仿宋简体" w:eastAsia="方正仿宋简体"/>
          <w:b/>
        </w:rPr>
        <w:drawing>
          <wp:anchor distT="0" distB="0" distL="114300" distR="114300" simplePos="0" relativeHeight="251687936" behindDoc="0" locked="0" layoutInCell="1" allowOverlap="1">
            <wp:simplePos x="0" y="0"/>
            <wp:positionH relativeFrom="column">
              <wp:posOffset>4190365</wp:posOffset>
            </wp:positionH>
            <wp:positionV relativeFrom="paragraph">
              <wp:posOffset>50800</wp:posOffset>
            </wp:positionV>
            <wp:extent cx="593725" cy="361950"/>
            <wp:effectExtent l="0" t="0" r="15875" b="0"/>
            <wp:wrapNone/>
            <wp:docPr id="3"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19-04-09 16.49.33"/>
                    <pic:cNvPicPr>
                      <a:picLocks noChangeAspect="1" noChangeArrowheads="1"/>
                    </pic:cNvPicPr>
                  </pic:nvPicPr>
                  <pic:blipFill>
                    <a:blip r:embed="rId5" cstate="print"/>
                    <a:srcRect/>
                    <a:stretch>
                      <a:fillRect/>
                    </a:stretch>
                  </pic:blipFill>
                  <pic:spPr>
                    <a:xfrm>
                      <a:off x="0" y="0"/>
                      <a:ext cx="593725" cy="361950"/>
                    </a:xfrm>
                    <a:prstGeom prst="rect">
                      <a:avLst/>
                    </a:prstGeom>
                    <a:noFill/>
                    <a:ln w="9525">
                      <a:noFill/>
                      <a:miter lim="800000"/>
                      <a:headEnd/>
                      <a:tailEnd/>
                    </a:ln>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bookmarkStart w:id="17" w:name="_GoBack"/>
      <w:bookmarkEnd w:id="17"/>
      <w:r>
        <w:rPr>
          <w:rFonts w:hint="eastAsia"/>
          <w:b/>
          <w:color w:val="000000" w:themeColor="text1"/>
          <w:sz w:val="22"/>
          <w:szCs w:val="22"/>
        </w:rPr>
        <w:t xml:space="preserve">                         组长确认：</w:t>
      </w:r>
      <w:r>
        <w:rPr>
          <w:rFonts w:ascii="方正仿宋简体" w:eastAsia="方正仿宋简体"/>
          <w:b/>
        </w:rPr>
        <w:drawing>
          <wp:anchor distT="0" distB="0" distL="114300" distR="114300" simplePos="0" relativeHeight="251677696" behindDoc="0" locked="0" layoutInCell="1" allowOverlap="1">
            <wp:simplePos x="0" y="0"/>
            <wp:positionH relativeFrom="column">
              <wp:posOffset>3047365</wp:posOffset>
            </wp:positionH>
            <wp:positionV relativeFrom="paragraph">
              <wp:posOffset>4959350</wp:posOffset>
            </wp:positionV>
            <wp:extent cx="548005" cy="238760"/>
            <wp:effectExtent l="0" t="0" r="4445" b="8890"/>
            <wp:wrapNone/>
            <wp:docPr id="2"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新文档 2019-04-09 16.49.33"/>
                    <pic:cNvPicPr>
                      <a:picLocks noChangeAspect="1" noChangeArrowheads="1"/>
                    </pic:cNvPicPr>
                  </pic:nvPicPr>
                  <pic:blipFill>
                    <a:blip r:embed="rId5" cstate="print"/>
                    <a:srcRect/>
                    <a:stretch>
                      <a:fillRect/>
                    </a:stretch>
                  </pic:blipFill>
                  <pic:spPr>
                    <a:xfrm>
                      <a:off x="0" y="0"/>
                      <a:ext cx="548005" cy="238760"/>
                    </a:xfrm>
                    <a:prstGeom prst="rect">
                      <a:avLst/>
                    </a:prstGeom>
                    <a:noFill/>
                    <a:ln w="9525">
                      <a:noFill/>
                      <a:miter lim="800000"/>
                      <a:headEnd/>
                      <a:tailEnd/>
                    </a:ln>
                  </pic:spPr>
                </pic:pic>
              </a:graphicData>
            </a:graphic>
          </wp:anchor>
        </w:drawing>
      </w:r>
      <w:r>
        <w:rPr>
          <w:rFonts w:ascii="方正仿宋简体" w:eastAsia="方正仿宋简体"/>
          <w:b/>
        </w:rPr>
        <w:drawing>
          <wp:anchor distT="0" distB="0" distL="114300" distR="114300" simplePos="0" relativeHeight="251667456" behindDoc="0" locked="0" layoutInCell="1" allowOverlap="1">
            <wp:simplePos x="0" y="0"/>
            <wp:positionH relativeFrom="column">
              <wp:posOffset>2894965</wp:posOffset>
            </wp:positionH>
            <wp:positionV relativeFrom="paragraph">
              <wp:posOffset>4806950</wp:posOffset>
            </wp:positionV>
            <wp:extent cx="548005" cy="238760"/>
            <wp:effectExtent l="0" t="0" r="4445" b="8890"/>
            <wp:wrapNone/>
            <wp:docPr id="8"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新文档 2019-04-09 16.49.33"/>
                    <pic:cNvPicPr>
                      <a:picLocks noChangeAspect="1" noChangeArrowheads="1"/>
                    </pic:cNvPicPr>
                  </pic:nvPicPr>
                  <pic:blipFill>
                    <a:blip r:embed="rId5" cstate="print"/>
                    <a:srcRect/>
                    <a:stretch>
                      <a:fillRect/>
                    </a:stretch>
                  </pic:blipFill>
                  <pic:spPr>
                    <a:xfrm>
                      <a:off x="0" y="0"/>
                      <a:ext cx="548005" cy="238760"/>
                    </a:xfrm>
                    <a:prstGeom prst="rect">
                      <a:avLst/>
                    </a:prstGeom>
                    <a:noFill/>
                    <a:ln w="9525">
                      <a:noFill/>
                      <a:miter lim="800000"/>
                      <a:headEnd/>
                      <a:tailEnd/>
                    </a:ln>
                  </pic:spPr>
                </pic:pic>
              </a:graphicData>
            </a:graphic>
          </wp:anchor>
        </w:drawing>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 xml:space="preserve">日期：  </w:t>
      </w:r>
      <w:r>
        <w:rPr>
          <w:rFonts w:hint="eastAsia"/>
          <w:b/>
          <w:color w:val="000000" w:themeColor="text1"/>
          <w:sz w:val="22"/>
          <w:szCs w:val="22"/>
          <w:lang w:val="en-US" w:eastAsia="zh-CN"/>
        </w:rPr>
        <w:t xml:space="preserve">2020.4.17                                  </w:t>
      </w:r>
      <w:r>
        <w:rPr>
          <w:rFonts w:hint="eastAsia"/>
          <w:b/>
          <w:color w:val="000000" w:themeColor="text1"/>
          <w:sz w:val="22"/>
          <w:szCs w:val="22"/>
        </w:rPr>
        <w:t xml:space="preserve">    日期：</w:t>
      </w:r>
      <w:r>
        <w:rPr>
          <w:rFonts w:hint="eastAsia"/>
          <w:b/>
          <w:color w:val="000000" w:themeColor="text1"/>
          <w:sz w:val="22"/>
          <w:szCs w:val="22"/>
          <w:lang w:val="en-US" w:eastAsia="zh-CN"/>
        </w:rPr>
        <w:t>2020.4.17</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Lucida Sans">
    <w:panose1 w:val="020B0602030504020204"/>
    <w:charset w:val="00"/>
    <w:family w:val="swiss"/>
    <w:pitch w:val="default"/>
    <w:sig w:usb0="00000003" w:usb1="00000000" w:usb2="00000000" w:usb3="00000000" w:csb0="2000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1025" o:spid="_x0000_s1025" o:spt="202" type="#_x0000_t202" style="position:absolute;left:0pt;margin-left:303pt;margin-top:2.2pt;height:20.2pt;width:181.5pt;z-index:251658240;mso-width-relative:page;mso-height-relative:page;" stroked="f" coordsize="21600,21600">
          <v:path/>
          <v:fill focussize="0,0"/>
          <v:stroke on="f" joinstyle="miter"/>
          <v:imagedata o:title=""/>
          <o:lock v:ext="edit"/>
          <v:textbox>
            <w:txbxContent>
              <w:p>
                <w:r>
                  <w:rPr>
                    <w:rFonts w:hint="eastAsia"/>
                    <w:sz w:val="18"/>
                    <w:szCs w:val="18"/>
                  </w:rPr>
                  <w:t>ISC-B-II-</w:t>
                </w:r>
                <w:r>
                  <w:rPr>
                    <w:sz w:val="18"/>
                    <w:szCs w:val="18"/>
                  </w:rPr>
                  <w:t>20</w:t>
                </w:r>
                <w:r>
                  <w:rPr>
                    <w:rFonts w:hint="eastAsia"/>
                    <w:sz w:val="18"/>
                    <w:szCs w:val="18"/>
                  </w:rPr>
                  <w:t>组织认证证书信息确认书(03版)</w:t>
                </w:r>
              </w:p>
            </w:txbxContent>
          </v:textbox>
        </v:shape>
      </w:pict>
    </w:r>
    <w:r>
      <w:rPr>
        <w:rStyle w:val="10"/>
        <w:rFonts w:hint="default"/>
        <w:w w:val="90"/>
        <w:sz w:val="18"/>
      </w:rPr>
      <w:t xml:space="preserve">Beijing InternationalStandard united Certification Co.,Ltd.                      </w:t>
    </w:r>
  </w:p>
  <w:p>
    <w:r>
      <w:pict>
        <v:shape id="_x0000_s1026" o:spid="_x0000_s1026"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
      <o:rules v:ext="edit">
        <o:r id="V:Rule1" type="connector" idref="#_x0000_s1026"/>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9575A"/>
    <w:rsid w:val="00133FD0"/>
    <w:rsid w:val="0019575A"/>
    <w:rsid w:val="00B22BE1"/>
    <w:rsid w:val="11BF5538"/>
    <w:rsid w:val="2BC22A62"/>
    <w:rsid w:val="2CF20172"/>
    <w:rsid w:val="502901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213</Words>
  <Characters>1218</Characters>
  <Lines>10</Lines>
  <Paragraphs>2</Paragraphs>
  <TotalTime>1</TotalTime>
  <ScaleCrop>false</ScaleCrop>
  <LinksUpToDate>false</LinksUpToDate>
  <CharactersWithSpaces>1429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李凤仪</cp:lastModifiedBy>
  <cp:lastPrinted>2020-08-25T01:02:00Z</cp:lastPrinted>
  <dcterms:modified xsi:type="dcterms:W3CDTF">2020-11-29T13:15:42Z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