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6"/>
        <w:tblW w:w="142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5"/>
        <w:gridCol w:w="1155"/>
        <w:gridCol w:w="11200"/>
        <w:gridCol w:w="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25" w:type="dxa"/>
            <w:vMerge w:val="restart"/>
            <w:vAlign w:val="center"/>
          </w:tcPr>
          <w:p>
            <w:pPr>
              <w:spacing w:before="120"/>
              <w:jc w:val="center"/>
              <w:rPr>
                <w:rFonts w:asciiTheme="minorEastAsia" w:hAnsiTheme="minorEastAsia" w:eastAsiaTheme="minorEastAsia"/>
                <w:szCs w:val="21"/>
              </w:rPr>
            </w:pPr>
            <w:r>
              <w:rPr>
                <w:rFonts w:hint="eastAsia" w:asciiTheme="minorEastAsia" w:hAnsiTheme="minorEastAsia" w:eastAsiaTheme="minorEastAsia"/>
                <w:szCs w:val="21"/>
              </w:rPr>
              <w:t>过程与活动、</w:t>
            </w:r>
          </w:p>
          <w:p>
            <w:pPr>
              <w:jc w:val="center"/>
              <w:rPr>
                <w:rFonts w:asciiTheme="minorEastAsia" w:hAnsiTheme="minorEastAsia" w:eastAsiaTheme="minorEastAsia"/>
                <w:szCs w:val="21"/>
              </w:rPr>
            </w:pPr>
            <w:r>
              <w:rPr>
                <w:rFonts w:hint="eastAsia" w:asciiTheme="minorEastAsia" w:hAnsiTheme="minorEastAsia" w:eastAsiaTheme="minorEastAsia"/>
                <w:szCs w:val="21"/>
              </w:rPr>
              <w:t>抽样计划</w:t>
            </w:r>
          </w:p>
        </w:tc>
        <w:tc>
          <w:tcPr>
            <w:tcW w:w="1155" w:type="dxa"/>
            <w:vMerge w:val="restart"/>
            <w:vAlign w:val="center"/>
          </w:tcPr>
          <w:p>
            <w:pPr>
              <w:rPr>
                <w:rFonts w:asciiTheme="minorEastAsia" w:hAnsiTheme="minorEastAsia" w:eastAsiaTheme="minorEastAsia"/>
                <w:szCs w:val="21"/>
              </w:rPr>
            </w:pPr>
            <w:r>
              <w:rPr>
                <w:rFonts w:hint="eastAsia" w:asciiTheme="minorEastAsia" w:hAnsiTheme="minorEastAsia" w:eastAsiaTheme="minorEastAsia"/>
                <w:szCs w:val="21"/>
              </w:rPr>
              <w:t>涉及</w:t>
            </w:r>
          </w:p>
          <w:p>
            <w:pPr>
              <w:rPr>
                <w:rFonts w:asciiTheme="minorEastAsia" w:hAnsiTheme="minorEastAsia" w:eastAsiaTheme="minorEastAsia"/>
                <w:szCs w:val="21"/>
              </w:rPr>
            </w:pPr>
            <w:r>
              <w:rPr>
                <w:rFonts w:hint="eastAsia" w:asciiTheme="minorEastAsia" w:hAnsiTheme="minorEastAsia" w:eastAsiaTheme="minorEastAsia"/>
                <w:szCs w:val="21"/>
              </w:rPr>
              <w:t>条款</w:t>
            </w:r>
          </w:p>
        </w:tc>
        <w:tc>
          <w:tcPr>
            <w:tcW w:w="11200" w:type="dxa"/>
            <w:vAlign w:val="center"/>
          </w:tcPr>
          <w:p>
            <w:pP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rPr>
              <w:t>受审核部门：</w:t>
            </w:r>
            <w:r>
              <w:rPr>
                <w:rFonts w:hint="eastAsia" w:asciiTheme="minorEastAsia" w:hAnsiTheme="minorEastAsia" w:eastAsiaTheme="minorEastAsia"/>
                <w:szCs w:val="21"/>
                <w:lang w:val="en-US" w:eastAsia="zh-CN"/>
              </w:rPr>
              <w:t xml:space="preserve">  生产部及车间  </w:t>
            </w:r>
            <w:r>
              <w:rPr>
                <w:rFonts w:hint="eastAsia" w:asciiTheme="minorEastAsia" w:hAnsiTheme="minorEastAsia" w:eastAsiaTheme="minorEastAsia"/>
                <w:szCs w:val="21"/>
              </w:rPr>
              <w:t>主管领导：</w:t>
            </w:r>
            <w:r>
              <w:rPr>
                <w:rFonts w:hint="eastAsia" w:asciiTheme="minorEastAsia" w:hAnsiTheme="minorEastAsia" w:eastAsiaTheme="minorEastAsia"/>
                <w:szCs w:val="21"/>
                <w:lang w:val="en-US" w:eastAsia="zh-CN"/>
              </w:rPr>
              <w:t>刘文良</w:t>
            </w:r>
            <w:r>
              <w:rPr>
                <w:rFonts w:hint="eastAsia" w:asciiTheme="minorEastAsia" w:hAnsiTheme="minorEastAsia" w:eastAsiaTheme="minorEastAsia"/>
                <w:szCs w:val="21"/>
              </w:rPr>
              <w:t>部长</w:t>
            </w:r>
            <w:r>
              <w:rPr>
                <w:rFonts w:hint="eastAsia" w:asciiTheme="minorEastAsia" w:hAnsiTheme="minorEastAsia" w:eastAsiaTheme="minorEastAsia"/>
                <w:szCs w:val="21"/>
                <w:lang w:val="en-US" w:eastAsia="zh-CN"/>
              </w:rPr>
              <w:t xml:space="preserve">、贾文鹏主任      </w:t>
            </w:r>
            <w:r>
              <w:rPr>
                <w:rFonts w:hint="eastAsia" w:asciiTheme="minorEastAsia" w:hAnsiTheme="minorEastAsia" w:eastAsiaTheme="minorEastAsia"/>
                <w:szCs w:val="21"/>
              </w:rPr>
              <w:t xml:space="preserve"> 陪同人员：</w:t>
            </w:r>
            <w:r>
              <w:rPr>
                <w:rFonts w:hint="eastAsia" w:asciiTheme="minorEastAsia" w:hAnsiTheme="minorEastAsia" w:eastAsiaTheme="minorEastAsia"/>
                <w:szCs w:val="21"/>
                <w:lang w:val="en-US" w:eastAsia="zh-CN"/>
              </w:rPr>
              <w:t>张梦婷</w:t>
            </w:r>
          </w:p>
        </w:tc>
        <w:tc>
          <w:tcPr>
            <w:tcW w:w="915" w:type="dxa"/>
            <w:vMerge w:val="restart"/>
            <w:vAlign w:val="center"/>
          </w:tcPr>
          <w:p>
            <w:pPr>
              <w:rPr>
                <w:rFonts w:asciiTheme="minorEastAsia" w:hAnsiTheme="minorEastAsia" w:eastAsiaTheme="minorEastAsia"/>
                <w:szCs w:val="21"/>
              </w:rPr>
            </w:pPr>
            <w:r>
              <w:rPr>
                <w:rFonts w:hint="eastAsia" w:asciiTheme="minorEastAsia" w:hAnsiTheme="minorEastAsia" w:eastAsiaTheme="minor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025" w:type="dxa"/>
            <w:vMerge w:val="continue"/>
            <w:vAlign w:val="center"/>
          </w:tcPr>
          <w:p>
            <w:pPr>
              <w:rPr>
                <w:rFonts w:asciiTheme="minorEastAsia" w:hAnsiTheme="minorEastAsia" w:eastAsiaTheme="minorEastAsia"/>
                <w:szCs w:val="21"/>
              </w:rPr>
            </w:pPr>
          </w:p>
        </w:tc>
        <w:tc>
          <w:tcPr>
            <w:tcW w:w="1155" w:type="dxa"/>
            <w:vMerge w:val="continue"/>
            <w:vAlign w:val="center"/>
          </w:tcPr>
          <w:p>
            <w:pPr>
              <w:rPr>
                <w:rFonts w:asciiTheme="minorEastAsia" w:hAnsiTheme="minorEastAsia" w:eastAsiaTheme="minorEastAsia"/>
                <w:szCs w:val="21"/>
              </w:rPr>
            </w:pPr>
          </w:p>
        </w:tc>
        <w:tc>
          <w:tcPr>
            <w:tcW w:w="11200" w:type="dxa"/>
            <w:vAlign w:val="center"/>
          </w:tcPr>
          <w:p>
            <w:pPr>
              <w:spacing w:before="120"/>
              <w:rPr>
                <w:rFonts w:asciiTheme="minorEastAsia" w:hAnsiTheme="minorEastAsia" w:eastAsiaTheme="minorEastAsia"/>
                <w:szCs w:val="21"/>
              </w:rPr>
            </w:pPr>
            <w:r>
              <w:rPr>
                <w:rFonts w:hint="eastAsia" w:asciiTheme="minorEastAsia" w:hAnsiTheme="minorEastAsia" w:eastAsiaTheme="minorEastAsia"/>
                <w:szCs w:val="21"/>
              </w:rPr>
              <w:t xml:space="preserve">审核员：李凤仪   </w:t>
            </w:r>
            <w:r>
              <w:rPr>
                <w:rFonts w:hint="eastAsia" w:asciiTheme="minorEastAsia" w:hAnsiTheme="minorEastAsia" w:eastAsiaTheme="minorEastAsia"/>
                <w:szCs w:val="21"/>
                <w:lang w:val="en-US" w:eastAsia="zh-CN"/>
              </w:rPr>
              <w:t>远程</w:t>
            </w:r>
            <w:r>
              <w:rPr>
                <w:rFonts w:hint="eastAsia" w:asciiTheme="minorEastAsia" w:hAnsiTheme="minorEastAsia" w:eastAsiaTheme="minorEastAsia"/>
                <w:szCs w:val="21"/>
              </w:rPr>
              <w:t>审核时间：20</w:t>
            </w:r>
            <w:r>
              <w:rPr>
                <w:rFonts w:hint="eastAsia" w:asciiTheme="minorEastAsia" w:hAnsiTheme="minorEastAsia" w:eastAsiaTheme="minorEastAsia"/>
                <w:szCs w:val="21"/>
                <w:lang w:val="en-US" w:eastAsia="zh-CN"/>
              </w:rPr>
              <w:t>20</w:t>
            </w:r>
            <w:r>
              <w:rPr>
                <w:rFonts w:hint="eastAsia" w:asciiTheme="minorEastAsia" w:hAnsiTheme="minorEastAsia" w:eastAsiaTheme="minorEastAsia"/>
                <w:szCs w:val="21"/>
              </w:rPr>
              <w:t>年</w:t>
            </w:r>
            <w:r>
              <w:rPr>
                <w:rFonts w:hint="eastAsia" w:asciiTheme="minorEastAsia" w:hAnsiTheme="minorEastAsia" w:eastAsiaTheme="minorEastAsia"/>
                <w:szCs w:val="21"/>
                <w:lang w:val="en-US" w:eastAsia="zh-CN"/>
              </w:rPr>
              <w:t>4</w:t>
            </w:r>
            <w:r>
              <w:rPr>
                <w:rFonts w:hint="eastAsia" w:asciiTheme="minorEastAsia" w:hAnsiTheme="minorEastAsia" w:eastAsiaTheme="minorEastAsia"/>
                <w:szCs w:val="21"/>
              </w:rPr>
              <w:t>月</w:t>
            </w:r>
            <w:r>
              <w:rPr>
                <w:rFonts w:hint="eastAsia" w:asciiTheme="minorEastAsia" w:hAnsiTheme="minorEastAsia" w:eastAsiaTheme="minorEastAsia"/>
                <w:szCs w:val="21"/>
                <w:lang w:val="en-US" w:eastAsia="zh-CN"/>
              </w:rPr>
              <w:t>17</w:t>
            </w:r>
            <w:r>
              <w:rPr>
                <w:rFonts w:hint="eastAsia" w:asciiTheme="minorEastAsia" w:hAnsiTheme="minorEastAsia" w:eastAsiaTheme="minorEastAsia"/>
                <w:szCs w:val="21"/>
              </w:rPr>
              <w:t>日</w:t>
            </w:r>
          </w:p>
        </w:tc>
        <w:tc>
          <w:tcPr>
            <w:tcW w:w="915" w:type="dxa"/>
            <w:vMerge w:val="continue"/>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025" w:type="dxa"/>
            <w:vMerge w:val="continue"/>
            <w:vAlign w:val="center"/>
          </w:tcPr>
          <w:p>
            <w:pPr>
              <w:rPr>
                <w:rFonts w:asciiTheme="minorEastAsia" w:hAnsiTheme="minorEastAsia" w:eastAsiaTheme="minorEastAsia"/>
                <w:szCs w:val="21"/>
              </w:rPr>
            </w:pPr>
          </w:p>
        </w:tc>
        <w:tc>
          <w:tcPr>
            <w:tcW w:w="1155" w:type="dxa"/>
            <w:vMerge w:val="continue"/>
            <w:vAlign w:val="center"/>
          </w:tcPr>
          <w:p>
            <w:pPr>
              <w:rPr>
                <w:rFonts w:asciiTheme="minorEastAsia" w:hAnsiTheme="minorEastAsia" w:eastAsiaTheme="minorEastAsia"/>
                <w:szCs w:val="21"/>
              </w:rPr>
            </w:pPr>
          </w:p>
        </w:tc>
        <w:tc>
          <w:tcPr>
            <w:tcW w:w="11200" w:type="dxa"/>
            <w:vAlign w:val="center"/>
          </w:tcPr>
          <w:p>
            <w:pPr>
              <w:snapToGrid w:val="0"/>
              <w:spacing w:line="280" w:lineRule="exact"/>
              <w:rPr>
                <w:rFonts w:hint="eastAsia" w:ascii="宋体" w:hAnsi="宋体" w:cs="宋体"/>
                <w:sz w:val="21"/>
                <w:szCs w:val="21"/>
              </w:rPr>
            </w:pPr>
            <w:r>
              <w:rPr>
                <w:rFonts w:hint="eastAsia" w:asciiTheme="minorEastAsia" w:hAnsiTheme="minorEastAsia" w:eastAsiaTheme="minorEastAsia"/>
                <w:szCs w:val="21"/>
              </w:rPr>
              <w:t>审核条款：</w:t>
            </w:r>
            <w:r>
              <w:rPr>
                <w:rFonts w:hint="eastAsia" w:ascii="宋体" w:hAnsi="宋体" w:cs="宋体"/>
                <w:color w:val="000000"/>
                <w:sz w:val="21"/>
                <w:szCs w:val="21"/>
              </w:rPr>
              <w:t>：</w:t>
            </w:r>
            <w:r>
              <w:rPr>
                <w:rFonts w:hint="eastAsia" w:ascii="宋体" w:hAnsi="宋体" w:cs="宋体"/>
                <w:sz w:val="21"/>
                <w:szCs w:val="21"/>
              </w:rPr>
              <w:t>Q:5.3/6.2/7.1.3/7.1.4/7.1.5/8.1/8.3</w:t>
            </w:r>
            <w:r>
              <w:rPr>
                <w:rFonts w:hint="eastAsia" w:ascii="宋体" w:hAnsi="宋体" w:cs="宋体"/>
                <w:sz w:val="21"/>
                <w:szCs w:val="21"/>
                <w:lang w:eastAsia="zh-CN"/>
              </w:rPr>
              <w:t>（</w:t>
            </w:r>
            <w:r>
              <w:rPr>
                <w:rFonts w:hint="eastAsia" w:ascii="宋体" w:hAnsi="宋体" w:cs="宋体"/>
                <w:sz w:val="21"/>
                <w:szCs w:val="21"/>
                <w:lang w:val="en-US" w:eastAsia="zh-CN"/>
              </w:rPr>
              <w:t>删减确认</w:t>
            </w:r>
            <w:r>
              <w:rPr>
                <w:rFonts w:hint="eastAsia" w:ascii="宋体" w:hAnsi="宋体" w:cs="宋体"/>
                <w:sz w:val="21"/>
                <w:szCs w:val="21"/>
                <w:lang w:eastAsia="zh-CN"/>
              </w:rPr>
              <w:t>）</w:t>
            </w:r>
            <w:r>
              <w:rPr>
                <w:rFonts w:hint="eastAsia" w:ascii="宋体" w:hAnsi="宋体" w:cs="宋体"/>
                <w:sz w:val="21"/>
                <w:szCs w:val="21"/>
              </w:rPr>
              <w:t>/8.5/8.6/8.7</w:t>
            </w:r>
          </w:p>
          <w:p>
            <w:pPr>
              <w:snapToGrid w:val="0"/>
              <w:spacing w:line="280" w:lineRule="exact"/>
              <w:ind w:firstLine="1470" w:firstLineChars="700"/>
              <w:rPr>
                <w:rFonts w:ascii="宋体" w:hAnsi="宋体"/>
                <w:b/>
                <w:bCs/>
                <w:szCs w:val="21"/>
              </w:rPr>
            </w:pPr>
            <w:r>
              <w:rPr>
                <w:rFonts w:hint="eastAsia" w:ascii="宋体" w:hAnsi="宋体" w:cs="宋体"/>
                <w:sz w:val="21"/>
                <w:szCs w:val="21"/>
              </w:rPr>
              <w:t>E</w:t>
            </w:r>
            <w:r>
              <w:rPr>
                <w:rFonts w:hint="eastAsia" w:ascii="宋体" w:hAnsi="宋体" w:cs="宋体"/>
                <w:sz w:val="21"/>
                <w:szCs w:val="21"/>
                <w:lang w:val="en-US" w:eastAsia="zh-CN"/>
              </w:rPr>
              <w:t>O</w:t>
            </w:r>
            <w:r>
              <w:rPr>
                <w:rFonts w:hint="eastAsia" w:ascii="宋体" w:hAnsi="宋体" w:cs="宋体"/>
                <w:sz w:val="21"/>
                <w:szCs w:val="21"/>
              </w:rPr>
              <w:t>:5.3/6.2/6.1.2/8.1/8.2</w:t>
            </w:r>
          </w:p>
        </w:tc>
        <w:tc>
          <w:tcPr>
            <w:tcW w:w="915" w:type="dxa"/>
            <w:vMerge w:val="continue"/>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025" w:type="dxa"/>
            <w:vAlign w:val="center"/>
          </w:tcPr>
          <w:p>
            <w:pPr>
              <w:spacing w:line="280" w:lineRule="exact"/>
              <w:rPr>
                <w:rFonts w:hint="eastAsia" w:ascii="宋体" w:hAnsi="宋体" w:eastAsia="宋体" w:cs="宋体"/>
                <w:kern w:val="2"/>
                <w:sz w:val="21"/>
                <w:szCs w:val="21"/>
                <w:lang w:val="en-US" w:eastAsia="zh-CN" w:bidi="ar-SA"/>
              </w:rPr>
            </w:pPr>
            <w:r>
              <w:rPr>
                <w:rFonts w:hint="eastAsia" w:ascii="宋体" w:hAnsi="宋体" w:cs="宋体"/>
                <w:sz w:val="21"/>
                <w:szCs w:val="21"/>
              </w:rPr>
              <w:t>部门职责与权限控制情况</w:t>
            </w:r>
          </w:p>
        </w:tc>
        <w:tc>
          <w:tcPr>
            <w:tcW w:w="1155" w:type="dxa"/>
            <w:vAlign w:val="center"/>
          </w:tcPr>
          <w:p>
            <w:pPr>
              <w:spacing w:line="280" w:lineRule="exact"/>
              <w:rPr>
                <w:rFonts w:hint="eastAsia" w:ascii="宋体" w:hAnsi="宋体" w:cs="宋体"/>
                <w:sz w:val="21"/>
                <w:szCs w:val="21"/>
              </w:rPr>
            </w:pPr>
            <w:r>
              <w:rPr>
                <w:rFonts w:hint="eastAsia" w:ascii="宋体" w:hAnsi="宋体" w:cs="宋体"/>
                <w:sz w:val="21"/>
                <w:szCs w:val="21"/>
              </w:rPr>
              <w:t>Q</w:t>
            </w:r>
            <w:r>
              <w:rPr>
                <w:rFonts w:hint="eastAsia" w:ascii="宋体" w:hAnsi="宋体" w:cs="宋体"/>
                <w:sz w:val="21"/>
                <w:szCs w:val="21"/>
                <w:lang w:val="en-US" w:eastAsia="zh-CN"/>
              </w:rPr>
              <w:t>EO</w:t>
            </w:r>
            <w:r>
              <w:rPr>
                <w:rFonts w:hint="eastAsia" w:ascii="宋体" w:hAnsi="宋体" w:cs="宋体"/>
                <w:sz w:val="21"/>
                <w:szCs w:val="21"/>
              </w:rPr>
              <w:t>:5.3</w:t>
            </w:r>
          </w:p>
          <w:p>
            <w:pPr>
              <w:spacing w:line="280" w:lineRule="exact"/>
              <w:rPr>
                <w:rFonts w:hint="eastAsia" w:ascii="宋体" w:hAnsi="宋体" w:cs="宋体"/>
                <w:sz w:val="21"/>
                <w:szCs w:val="21"/>
              </w:rPr>
            </w:pPr>
          </w:p>
          <w:p>
            <w:pPr>
              <w:spacing w:line="280" w:lineRule="exact"/>
              <w:rPr>
                <w:rFonts w:hint="eastAsia" w:ascii="宋体" w:hAnsi="宋体" w:eastAsia="宋体" w:cs="宋体"/>
                <w:kern w:val="2"/>
                <w:sz w:val="21"/>
                <w:szCs w:val="21"/>
                <w:lang w:val="en-US" w:eastAsia="zh-CN" w:bidi="ar-SA"/>
              </w:rPr>
            </w:pPr>
          </w:p>
        </w:tc>
        <w:tc>
          <w:tcPr>
            <w:tcW w:w="11200" w:type="dxa"/>
            <w:vAlign w:val="center"/>
          </w:tcPr>
          <w:p>
            <w:pPr>
              <w:spacing w:line="280" w:lineRule="exact"/>
              <w:ind w:firstLine="420" w:firstLineChars="200"/>
              <w:rPr>
                <w:rFonts w:hint="eastAsia" w:ascii="宋体" w:hAnsi="宋体" w:cs="宋体"/>
                <w:sz w:val="21"/>
                <w:szCs w:val="21"/>
              </w:rPr>
            </w:pPr>
            <w:r>
              <w:rPr>
                <w:rFonts w:hint="eastAsia" w:ascii="宋体" w:hAnsi="宋体" w:cs="宋体"/>
                <w:sz w:val="21"/>
                <w:szCs w:val="21"/>
              </w:rPr>
              <w:t>公司确定了公司机构并规定了各岗位人员职责、权限和相互关系，并在公司内对各级员工进行了必要的传达。对从事与生产技术有关的管理、执行和验证人员规定其职责、权限及其相互关系，以实现公司管理方针和管理目标。其职责和权限规定如下：</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负责设备管理、产品实现的策划、生产过程控制、计量器具的管理、产品质量控制、不合品控制、环境因素与危险源的识别控制、运行控制情况等</w:t>
            </w:r>
          </w:p>
          <w:p>
            <w:pPr>
              <w:spacing w:line="280" w:lineRule="exact"/>
              <w:ind w:firstLine="420" w:firstLineChars="200"/>
              <w:rPr>
                <w:rFonts w:hint="eastAsia" w:ascii="宋体" w:hAnsi="宋体" w:eastAsia="宋体" w:cs="宋体"/>
                <w:b/>
                <w:kern w:val="2"/>
                <w:sz w:val="21"/>
                <w:szCs w:val="21"/>
                <w:lang w:val="en-US" w:eastAsia="zh-CN" w:bidi="ar-SA"/>
              </w:rPr>
            </w:pPr>
            <w:r>
              <w:rPr>
                <w:rFonts w:hint="eastAsia" w:ascii="宋体" w:hAnsi="宋体" w:cs="宋体"/>
                <w:sz w:val="21"/>
                <w:szCs w:val="21"/>
              </w:rPr>
              <w:t>经了解，部门职责与文件规定基本一致。</w:t>
            </w:r>
          </w:p>
        </w:tc>
        <w:tc>
          <w:tcPr>
            <w:tcW w:w="915"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025" w:type="dxa"/>
            <w:vAlign w:val="center"/>
          </w:tcPr>
          <w:p>
            <w:pPr>
              <w:spacing w:line="280" w:lineRule="exact"/>
              <w:rPr>
                <w:rFonts w:hint="eastAsia" w:ascii="宋体" w:hAnsi="宋体" w:eastAsia="宋体" w:cs="宋体"/>
                <w:kern w:val="2"/>
                <w:sz w:val="21"/>
                <w:szCs w:val="21"/>
                <w:lang w:val="en-US" w:eastAsia="zh-CN" w:bidi="ar-SA"/>
              </w:rPr>
            </w:pPr>
            <w:r>
              <w:rPr>
                <w:rFonts w:hint="eastAsia" w:ascii="宋体" w:hAnsi="宋体" w:cs="宋体"/>
                <w:sz w:val="21"/>
                <w:szCs w:val="21"/>
              </w:rPr>
              <w:t>目标指标及管理方案控制情况</w:t>
            </w:r>
          </w:p>
        </w:tc>
        <w:tc>
          <w:tcPr>
            <w:tcW w:w="1155" w:type="dxa"/>
            <w:vAlign w:val="center"/>
          </w:tcPr>
          <w:p>
            <w:pPr>
              <w:spacing w:line="280" w:lineRule="exact"/>
              <w:rPr>
                <w:rFonts w:hint="eastAsia" w:ascii="宋体" w:hAnsi="宋体" w:eastAsia="宋体" w:cs="宋体"/>
                <w:b/>
                <w:kern w:val="2"/>
                <w:sz w:val="21"/>
                <w:szCs w:val="21"/>
                <w:lang w:val="en-US" w:eastAsia="zh-CN" w:bidi="ar-SA"/>
              </w:rPr>
            </w:pPr>
            <w:r>
              <w:rPr>
                <w:rFonts w:hint="eastAsia" w:ascii="宋体" w:hAnsi="宋体" w:cs="宋体"/>
                <w:sz w:val="21"/>
                <w:szCs w:val="21"/>
              </w:rPr>
              <w:t>Q</w:t>
            </w:r>
            <w:r>
              <w:rPr>
                <w:rFonts w:hint="eastAsia" w:ascii="宋体" w:hAnsi="宋体" w:cs="宋体"/>
                <w:sz w:val="21"/>
                <w:szCs w:val="21"/>
                <w:lang w:val="en-US" w:eastAsia="zh-CN"/>
              </w:rPr>
              <w:t>EO</w:t>
            </w:r>
            <w:r>
              <w:rPr>
                <w:rFonts w:hint="eastAsia" w:ascii="宋体" w:hAnsi="宋体" w:cs="宋体"/>
                <w:sz w:val="21"/>
                <w:szCs w:val="21"/>
              </w:rPr>
              <w:t>:6.2</w:t>
            </w:r>
          </w:p>
        </w:tc>
        <w:tc>
          <w:tcPr>
            <w:tcW w:w="11200" w:type="dxa"/>
            <w:vAlign w:val="center"/>
          </w:tcPr>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lang w:val="en-US" w:eastAsia="zh-CN"/>
              </w:rPr>
              <w:t>2020年</w:t>
            </w:r>
            <w:r>
              <w:rPr>
                <w:rFonts w:hint="eastAsia" w:ascii="宋体" w:hAnsi="宋体" w:cs="宋体"/>
                <w:color w:val="000000"/>
                <w:sz w:val="21"/>
                <w:szCs w:val="21"/>
              </w:rPr>
              <w:t xml:space="preserve">管理目标有：                       </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 xml:space="preserve">1、一次检验合格率98%，最终合格率100%； </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2、设备完好率为98%；</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3、监视和测量设备按计划检定率为100%；</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4、纠正预防措施按计划实施率100%。</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5、合格供方评价率100%；</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6、进货验证及时率100%；</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7、固体废弃物分类处理率100%。</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8、交通事故发生率为0；</w:t>
            </w:r>
          </w:p>
          <w:p>
            <w:pPr>
              <w:spacing w:line="280" w:lineRule="exact"/>
              <w:ind w:firstLine="420" w:firstLineChars="200"/>
              <w:rPr>
                <w:rFonts w:hint="eastAsia" w:ascii="宋体" w:hAnsi="宋体" w:cs="宋体"/>
                <w:color w:val="000000"/>
                <w:sz w:val="21"/>
                <w:szCs w:val="21"/>
              </w:rPr>
            </w:pPr>
            <w:r>
              <w:rPr>
                <w:rFonts w:hint="eastAsia" w:ascii="宋体" w:hAnsi="宋体" w:cs="宋体"/>
                <w:sz w:val="21"/>
                <w:szCs w:val="21"/>
              </w:rPr>
              <w:t xml:space="preserve">9、火灾事故发生率为0   </w:t>
            </w:r>
            <w:r>
              <w:rPr>
                <w:rFonts w:hint="eastAsia" w:ascii="宋体" w:hAnsi="宋体" w:cs="宋体"/>
                <w:color w:val="000000"/>
                <w:sz w:val="21"/>
                <w:szCs w:val="21"/>
              </w:rPr>
              <w:t xml:space="preserve">                          </w:t>
            </w:r>
          </w:p>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目标可测量，与公司方针一致。</w:t>
            </w:r>
          </w:p>
          <w:p>
            <w:pPr>
              <w:spacing w:line="280" w:lineRule="exact"/>
              <w:rPr>
                <w:rFonts w:hint="eastAsia" w:ascii="宋体" w:hAnsi="宋体" w:cs="宋体"/>
                <w:color w:val="000000"/>
                <w:sz w:val="21"/>
                <w:szCs w:val="21"/>
              </w:rPr>
            </w:pPr>
            <w:r>
              <w:rPr>
                <w:rFonts w:hint="eastAsia" w:ascii="宋体" w:hAnsi="宋体" w:cs="宋体"/>
                <w:color w:val="000000"/>
                <w:sz w:val="21"/>
                <w:szCs w:val="21"/>
              </w:rPr>
              <w:t>管理目标完成情况：查到20</w:t>
            </w:r>
            <w:r>
              <w:rPr>
                <w:rFonts w:hint="eastAsia" w:ascii="宋体" w:hAnsi="宋体" w:cs="宋体"/>
                <w:color w:val="000000"/>
                <w:sz w:val="21"/>
                <w:szCs w:val="21"/>
                <w:lang w:val="en-US" w:eastAsia="zh-CN"/>
              </w:rPr>
              <w:t>19年</w:t>
            </w:r>
            <w:r>
              <w:rPr>
                <w:rFonts w:hint="eastAsia" w:ascii="宋体" w:hAnsi="宋体" w:cs="宋体"/>
                <w:color w:val="000000"/>
                <w:sz w:val="21"/>
                <w:szCs w:val="21"/>
              </w:rPr>
              <w:t>第</w:t>
            </w:r>
            <w:r>
              <w:rPr>
                <w:rFonts w:hint="eastAsia" w:ascii="宋体" w:hAnsi="宋体" w:cs="宋体"/>
                <w:color w:val="000000"/>
                <w:sz w:val="21"/>
                <w:szCs w:val="21"/>
                <w:lang w:val="en-US" w:eastAsia="zh-CN"/>
              </w:rPr>
              <w:t>3-4</w:t>
            </w:r>
            <w:r>
              <w:rPr>
                <w:rFonts w:hint="eastAsia" w:ascii="宋体" w:hAnsi="宋体" w:cs="宋体"/>
                <w:color w:val="000000"/>
                <w:sz w:val="21"/>
                <w:szCs w:val="21"/>
              </w:rPr>
              <w:t>季度部门管理目标</w:t>
            </w:r>
            <w:r>
              <w:rPr>
                <w:rFonts w:hint="eastAsia" w:ascii="宋体" w:hAnsi="宋体" w:cs="宋体"/>
                <w:color w:val="000000"/>
                <w:sz w:val="21"/>
                <w:szCs w:val="21"/>
                <w:lang w:val="en-US" w:eastAsia="zh-CN"/>
              </w:rPr>
              <w:t>及2020年1-3月份目标</w:t>
            </w:r>
            <w:r>
              <w:rPr>
                <w:rFonts w:hint="eastAsia" w:ascii="宋体" w:hAnsi="宋体" w:cs="宋体"/>
                <w:color w:val="000000"/>
                <w:sz w:val="21"/>
                <w:szCs w:val="21"/>
              </w:rPr>
              <w:t>完成情况，以上管理目标已全部完成，考核：综合部  审批：张勤。20</w:t>
            </w:r>
            <w:r>
              <w:rPr>
                <w:rFonts w:hint="eastAsia" w:ascii="宋体" w:hAnsi="宋体" w:cs="宋体"/>
                <w:color w:val="000000"/>
                <w:sz w:val="21"/>
                <w:szCs w:val="21"/>
                <w:lang w:val="en-US" w:eastAsia="zh-CN"/>
              </w:rPr>
              <w:t>20</w:t>
            </w:r>
            <w:r>
              <w:rPr>
                <w:rFonts w:hint="eastAsia" w:ascii="宋体" w:hAnsi="宋体" w:cs="宋体"/>
                <w:color w:val="000000"/>
                <w:sz w:val="21"/>
                <w:szCs w:val="21"/>
              </w:rPr>
              <w:t>年</w:t>
            </w:r>
            <w:r>
              <w:rPr>
                <w:rFonts w:hint="eastAsia" w:ascii="宋体" w:hAnsi="宋体" w:cs="宋体"/>
                <w:color w:val="000000"/>
                <w:sz w:val="21"/>
                <w:szCs w:val="21"/>
                <w:lang w:val="en-US" w:eastAsia="zh-CN"/>
              </w:rPr>
              <w:t>QEO</w:t>
            </w:r>
            <w:r>
              <w:rPr>
                <w:rFonts w:hint="eastAsia" w:ascii="宋体" w:hAnsi="宋体" w:cs="宋体"/>
                <w:color w:val="000000"/>
                <w:sz w:val="21"/>
                <w:szCs w:val="21"/>
              </w:rPr>
              <w:t>目标已制定。</w:t>
            </w:r>
          </w:p>
          <w:p>
            <w:pPr>
              <w:spacing w:line="280" w:lineRule="exact"/>
              <w:rPr>
                <w:rFonts w:hint="eastAsia" w:ascii="宋体" w:hAnsi="宋体" w:eastAsia="宋体" w:cs="宋体"/>
                <w:b/>
                <w:kern w:val="2"/>
                <w:sz w:val="21"/>
                <w:szCs w:val="21"/>
                <w:lang w:val="en-US" w:eastAsia="zh-CN" w:bidi="ar-SA"/>
              </w:rPr>
            </w:pPr>
            <w:r>
              <w:rPr>
                <w:rFonts w:hint="eastAsia" w:ascii="宋体" w:hAnsi="宋体" w:cs="宋体"/>
                <w:sz w:val="21"/>
                <w:szCs w:val="21"/>
              </w:rPr>
              <w:t>针对火灾、粉尘等公司制定了相应管理方案并实施，详见审核安环部该条款记录。</w:t>
            </w:r>
          </w:p>
        </w:tc>
        <w:tc>
          <w:tcPr>
            <w:tcW w:w="915"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025" w:type="dxa"/>
            <w:vAlign w:val="center"/>
          </w:tcPr>
          <w:p>
            <w:pPr>
              <w:spacing w:line="280" w:lineRule="exact"/>
              <w:rPr>
                <w:rFonts w:hint="eastAsia" w:ascii="宋体" w:hAnsi="宋体" w:cs="宋体"/>
                <w:sz w:val="21"/>
                <w:szCs w:val="21"/>
              </w:rPr>
            </w:pPr>
            <w:r>
              <w:rPr>
                <w:rFonts w:hint="eastAsia" w:ascii="宋体" w:hAnsi="宋体" w:cs="宋体"/>
                <w:sz w:val="21"/>
                <w:szCs w:val="21"/>
              </w:rPr>
              <w:t>基础</w:t>
            </w:r>
          </w:p>
          <w:p>
            <w:pPr>
              <w:spacing w:line="280" w:lineRule="exact"/>
              <w:rPr>
                <w:rFonts w:hint="eastAsia" w:ascii="宋体" w:hAnsi="宋体" w:eastAsia="宋体" w:cs="宋体"/>
                <w:b/>
                <w:kern w:val="2"/>
                <w:sz w:val="21"/>
                <w:szCs w:val="21"/>
                <w:lang w:val="en-US" w:eastAsia="zh-CN" w:bidi="ar-SA"/>
              </w:rPr>
            </w:pPr>
            <w:r>
              <w:rPr>
                <w:rFonts w:hint="eastAsia" w:ascii="宋体" w:hAnsi="宋体" w:cs="宋体"/>
                <w:sz w:val="21"/>
                <w:szCs w:val="21"/>
              </w:rPr>
              <w:t>设施</w:t>
            </w:r>
          </w:p>
        </w:tc>
        <w:tc>
          <w:tcPr>
            <w:tcW w:w="1155" w:type="dxa"/>
            <w:vAlign w:val="center"/>
          </w:tcPr>
          <w:p>
            <w:pPr>
              <w:spacing w:line="280" w:lineRule="exact"/>
              <w:rPr>
                <w:rFonts w:hint="eastAsia" w:ascii="宋体" w:hAnsi="宋体" w:eastAsia="宋体" w:cs="宋体"/>
                <w:b/>
                <w:kern w:val="2"/>
                <w:sz w:val="21"/>
                <w:szCs w:val="21"/>
                <w:lang w:val="en-US" w:eastAsia="zh-CN" w:bidi="ar-SA"/>
              </w:rPr>
            </w:pPr>
            <w:r>
              <w:rPr>
                <w:rFonts w:hint="eastAsia" w:ascii="宋体" w:hAnsi="宋体" w:cs="宋体"/>
                <w:sz w:val="21"/>
                <w:szCs w:val="21"/>
              </w:rPr>
              <w:t>Q7.1.3</w:t>
            </w:r>
          </w:p>
        </w:tc>
        <w:tc>
          <w:tcPr>
            <w:tcW w:w="11200" w:type="dxa"/>
            <w:vAlign w:val="center"/>
          </w:tcPr>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生产车间面积约3000平方米，办公通讯配套设施齐全。</w:t>
            </w:r>
          </w:p>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提供《固定资产台帐》主要设备有：电脑、打印机、电话、空调、电焊机、冲孔机、切排机、弯排机、数控母线加工机、螺柱焊机、型材切割机、扬力数控转塔冲床、金方圆数控剪板机等，登记了设备名称、数量、型号、状态、销售企业、购置日期等。</w:t>
            </w:r>
          </w:p>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核实：电脑，使用地点综合部，设备状态完好。</w:t>
            </w:r>
          </w:p>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公司办公通讯设备实施日常清洁，由员工在每天工作前进行，现场核实该设备，完好。电脑软件等，必要时升级。</w:t>
            </w:r>
          </w:p>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对办公通讯设备进行定期维护和保养工作基本正常，对于工作中发现的设备故障，能及时维修，设备暂无故障维修。</w:t>
            </w:r>
          </w:p>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查见“年度大修和季节保养计划”，表格内容设置包括：序号、设备名称、投入使用日期、修理等级、修理时间、经营结算、修理内容等项。计划中对压路机、挖掘机、电焊机、发电机等机械设备策划了大修或保养时间。编制：李兆东；审核：刘文良；批准：张勤。</w:t>
            </w:r>
          </w:p>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查到《设备维修保养记录》，记录了发电机、挖掘机、搅拌机、电焊机的修理记录，内容清晰，明确了修理的位置和具体维修的内容，有修理操作人签字，符合要求。</w:t>
            </w:r>
          </w:p>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抽查电焊机维修保养情况：检查焊机绝缘情况；焊机焊把线磨损情况，对焊把线进行更换等。维修操作人：李兆东 。日期：201</w:t>
            </w:r>
            <w:r>
              <w:rPr>
                <w:rFonts w:hint="eastAsia" w:ascii="宋体" w:hAnsi="宋体" w:cs="宋体"/>
                <w:color w:val="000000"/>
                <w:sz w:val="21"/>
                <w:szCs w:val="21"/>
                <w:lang w:val="en-US" w:eastAsia="zh-CN"/>
              </w:rPr>
              <w:t>9</w:t>
            </w:r>
            <w:r>
              <w:rPr>
                <w:rFonts w:hint="eastAsia" w:ascii="宋体" w:hAnsi="宋体" w:cs="宋体"/>
                <w:color w:val="000000"/>
                <w:sz w:val="21"/>
                <w:szCs w:val="21"/>
              </w:rPr>
              <w:t>.11.15</w:t>
            </w:r>
          </w:p>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刘文良</w:t>
            </w:r>
            <w:r>
              <w:rPr>
                <w:rFonts w:hint="eastAsia" w:ascii="宋体" w:hAnsi="宋体" w:cs="宋体"/>
                <w:color w:val="000000"/>
                <w:sz w:val="21"/>
                <w:szCs w:val="21"/>
                <w:lang w:val="en-US" w:eastAsia="zh-CN"/>
              </w:rPr>
              <w:t>部长</w:t>
            </w:r>
            <w:r>
              <w:rPr>
                <w:rFonts w:hint="eastAsia" w:ascii="宋体" w:hAnsi="宋体" w:cs="宋体"/>
                <w:color w:val="000000"/>
                <w:sz w:val="21"/>
                <w:szCs w:val="21"/>
              </w:rPr>
              <w:t>介绍，公司要求对于停用的机械设备使用部门必须保证配套完好，零部件齐全并进行封存，保证启封时能正常运转。在生产现场封存的设备，由项目部负责看护。</w:t>
            </w:r>
          </w:p>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生产部对不使用的和报废设备进行统一管理，由使用部门提出申请，生产会同财务部、综合部、专业技术人员进行鉴定后，报总经理审批，目前没有报废设备。设备出库由专人管理，设备出库前进行鉴定，目前基础设施设备良好，满足工作要求。</w:t>
            </w:r>
          </w:p>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经查，公司近</w:t>
            </w:r>
            <w:r>
              <w:rPr>
                <w:rFonts w:hint="eastAsia" w:ascii="宋体" w:hAnsi="宋体" w:cs="宋体"/>
                <w:color w:val="000000"/>
                <w:sz w:val="21"/>
                <w:szCs w:val="21"/>
                <w:lang w:val="en-US" w:eastAsia="zh-CN"/>
              </w:rPr>
              <w:t>一</w:t>
            </w:r>
            <w:r>
              <w:rPr>
                <w:rFonts w:hint="eastAsia" w:ascii="宋体" w:hAnsi="宋体" w:cs="宋体"/>
                <w:color w:val="000000"/>
                <w:sz w:val="21"/>
                <w:szCs w:val="21"/>
              </w:rPr>
              <w:t>年来没有新购置的设备，现有施工设备能够满足公司工程施工需要。符合。</w:t>
            </w:r>
          </w:p>
          <w:p>
            <w:pPr>
              <w:spacing w:line="280" w:lineRule="exact"/>
              <w:ind w:firstLine="422" w:firstLineChars="200"/>
              <w:rPr>
                <w:rFonts w:hint="eastAsia" w:ascii="宋体" w:hAnsi="宋体" w:eastAsia="宋体" w:cs="宋体"/>
                <w:color w:val="000000"/>
                <w:kern w:val="2"/>
                <w:sz w:val="21"/>
                <w:szCs w:val="21"/>
                <w:lang w:val="en-US" w:eastAsia="zh-CN" w:bidi="ar-SA"/>
              </w:rPr>
            </w:pPr>
            <w:r>
              <w:rPr>
                <w:rFonts w:hint="eastAsia" w:ascii="宋体" w:hAnsi="宋体" w:cs="宋体"/>
                <w:b/>
                <w:bCs/>
                <w:color w:val="000000"/>
                <w:sz w:val="21"/>
                <w:szCs w:val="21"/>
              </w:rPr>
              <w:t>特种设备，生产现场见3台起重设备，能提供对吊车进行检验的相关证据。</w:t>
            </w:r>
            <w:bookmarkStart w:id="0" w:name="_GoBack"/>
            <w:bookmarkEnd w:id="0"/>
          </w:p>
        </w:tc>
        <w:tc>
          <w:tcPr>
            <w:tcW w:w="915"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trPr>
        <w:tc>
          <w:tcPr>
            <w:tcW w:w="1025" w:type="dxa"/>
            <w:vAlign w:val="center"/>
          </w:tcPr>
          <w:p>
            <w:pPr>
              <w:spacing w:line="280" w:lineRule="exact"/>
              <w:rPr>
                <w:rFonts w:hint="eastAsia" w:ascii="宋体" w:hAnsi="宋体" w:cs="宋体"/>
                <w:sz w:val="21"/>
                <w:szCs w:val="21"/>
              </w:rPr>
            </w:pPr>
            <w:r>
              <w:rPr>
                <w:rFonts w:hint="eastAsia" w:ascii="宋体" w:hAnsi="宋体" w:cs="宋体"/>
                <w:sz w:val="21"/>
                <w:szCs w:val="21"/>
              </w:rPr>
              <w:t>过程运行环境</w:t>
            </w:r>
          </w:p>
          <w:p>
            <w:pPr>
              <w:spacing w:line="280" w:lineRule="exact"/>
              <w:rPr>
                <w:rFonts w:hint="eastAsia" w:ascii="宋体" w:hAnsi="宋体" w:eastAsia="宋体" w:cs="宋体"/>
                <w:b/>
                <w:kern w:val="2"/>
                <w:sz w:val="21"/>
                <w:szCs w:val="21"/>
                <w:lang w:val="en-US" w:eastAsia="zh-CN" w:bidi="ar-SA"/>
              </w:rPr>
            </w:pPr>
          </w:p>
        </w:tc>
        <w:tc>
          <w:tcPr>
            <w:tcW w:w="1155" w:type="dxa"/>
            <w:vAlign w:val="center"/>
          </w:tcPr>
          <w:p>
            <w:pPr>
              <w:spacing w:line="280" w:lineRule="exact"/>
              <w:rPr>
                <w:rFonts w:hint="eastAsia" w:ascii="宋体" w:hAnsi="宋体" w:cs="宋体"/>
                <w:sz w:val="21"/>
                <w:szCs w:val="21"/>
              </w:rPr>
            </w:pPr>
            <w:r>
              <w:rPr>
                <w:rFonts w:hint="eastAsia" w:ascii="宋体" w:hAnsi="宋体" w:cs="宋体"/>
                <w:sz w:val="21"/>
                <w:szCs w:val="21"/>
              </w:rPr>
              <w:t>Q7.1.4</w:t>
            </w:r>
          </w:p>
          <w:p>
            <w:pPr>
              <w:spacing w:line="280" w:lineRule="exact"/>
              <w:rPr>
                <w:rFonts w:hint="eastAsia" w:ascii="宋体" w:hAnsi="宋体" w:eastAsia="宋体" w:cs="宋体"/>
                <w:b/>
                <w:kern w:val="2"/>
                <w:sz w:val="21"/>
                <w:szCs w:val="21"/>
                <w:lang w:val="en-US" w:eastAsia="zh-CN" w:bidi="ar-SA"/>
              </w:rPr>
            </w:pPr>
          </w:p>
        </w:tc>
        <w:tc>
          <w:tcPr>
            <w:tcW w:w="11200" w:type="dxa"/>
            <w:vAlign w:val="center"/>
          </w:tcPr>
          <w:p>
            <w:pPr>
              <w:spacing w:line="280" w:lineRule="exact"/>
              <w:rPr>
                <w:rFonts w:hint="eastAsia" w:ascii="宋体" w:hAnsi="宋体" w:cs="宋体"/>
                <w:sz w:val="21"/>
                <w:szCs w:val="21"/>
              </w:rPr>
            </w:pPr>
            <w:r>
              <w:rPr>
                <w:rFonts w:hint="eastAsia" w:ascii="宋体" w:hAnsi="宋体" w:cs="宋体"/>
                <w:sz w:val="21"/>
                <w:szCs w:val="21"/>
              </w:rPr>
              <w:t>负责人介绍：公司依据公司的《施工现场环境保护管理规定》、《办公环境管理办法》确定的管理要求实施施工现场环境及办公环境控制，公司对办公区域环境的要求进行了规定，要求工作环境通风、明亮、禁止室内吸烟、禁止用火和不规范用电等，确保办公环境满足要求。办公区域干净整洁、办公设备摆放整齐，未见使用电炉等危险用品。对生产现场环境的控制，要求生产人员到生产车间现场检查，确认是否具备生产条件、确定员工休息、材料贮存、生产现场布局、现场生产涉及的相关方的沟通等适用有效，依据作业内容确定的设施要求是否得到满足。为了保证施工作业时的安全，作业现场必要时安排专门的监护人。通过平时的工作检查、督促</w:t>
            </w:r>
            <w:r>
              <w:rPr>
                <w:rFonts w:hint="eastAsia" w:ascii="宋体" w:hAnsi="宋体" w:cs="宋体"/>
                <w:sz w:val="21"/>
                <w:szCs w:val="21"/>
                <w:lang w:val="en-GB"/>
              </w:rPr>
              <w:t>,</w:t>
            </w:r>
            <w:r>
              <w:rPr>
                <w:rFonts w:hint="eastAsia" w:ascii="宋体" w:hAnsi="宋体" w:cs="宋体"/>
                <w:sz w:val="21"/>
                <w:szCs w:val="21"/>
              </w:rPr>
              <w:t>确保项目部的工作环境持续满足施工要求。</w:t>
            </w:r>
          </w:p>
          <w:p>
            <w:pPr>
              <w:spacing w:line="280" w:lineRule="exact"/>
              <w:rPr>
                <w:rFonts w:hint="eastAsia" w:ascii="宋体" w:hAnsi="宋体" w:cs="宋体"/>
                <w:color w:val="000000"/>
                <w:sz w:val="21"/>
                <w:szCs w:val="21"/>
              </w:rPr>
            </w:pPr>
            <w:r>
              <w:rPr>
                <w:rFonts w:hint="eastAsia" w:ascii="宋体" w:hAnsi="宋体" w:cs="宋体"/>
                <w:color w:val="FF0000"/>
                <w:sz w:val="21"/>
                <w:szCs w:val="21"/>
              </w:rPr>
              <w:t xml:space="preserve">   </w:t>
            </w:r>
            <w:r>
              <w:rPr>
                <w:rFonts w:hint="eastAsia" w:ascii="宋体" w:hAnsi="宋体" w:cs="宋体"/>
                <w:color w:val="000000"/>
                <w:sz w:val="21"/>
                <w:szCs w:val="21"/>
              </w:rPr>
              <w:t xml:space="preserve"> 查到：施工现场环境保护管理规定</w:t>
            </w:r>
            <w:r>
              <w:rPr>
                <w:rFonts w:hint="eastAsia" w:ascii="宋体" w:hAnsi="宋体" w:cs="宋体"/>
                <w:color w:val="000000"/>
                <w:sz w:val="21"/>
                <w:szCs w:val="21"/>
              </w:rPr>
              <w:tab/>
            </w:r>
            <w:r>
              <w:rPr>
                <w:rFonts w:hint="eastAsia" w:ascii="宋体" w:hAnsi="宋体" w:cs="宋体"/>
                <w:color w:val="000000"/>
                <w:sz w:val="21"/>
                <w:szCs w:val="21"/>
              </w:rPr>
              <w:t>QB/SADL.GL-07-2018</w:t>
            </w:r>
          </w:p>
          <w:p>
            <w:pPr>
              <w:spacing w:line="280" w:lineRule="exact"/>
              <w:rPr>
                <w:rFonts w:hint="eastAsia" w:ascii="宋体" w:hAnsi="宋体" w:cs="宋体"/>
                <w:color w:val="000000"/>
                <w:sz w:val="21"/>
                <w:szCs w:val="21"/>
              </w:rPr>
            </w:pPr>
            <w:r>
              <w:rPr>
                <w:rFonts w:hint="eastAsia" w:ascii="宋体" w:hAnsi="宋体" w:cs="宋体"/>
                <w:color w:val="000000"/>
                <w:sz w:val="21"/>
                <w:szCs w:val="21"/>
              </w:rPr>
              <w:t>办公环境管理办法</w:t>
            </w:r>
            <w:r>
              <w:rPr>
                <w:rFonts w:hint="eastAsia" w:ascii="宋体" w:hAnsi="宋体" w:cs="宋体"/>
                <w:color w:val="000000"/>
                <w:sz w:val="21"/>
                <w:szCs w:val="21"/>
              </w:rPr>
              <w:tab/>
            </w:r>
            <w:r>
              <w:rPr>
                <w:rFonts w:hint="eastAsia" w:ascii="宋体" w:hAnsi="宋体" w:cs="宋体"/>
                <w:color w:val="000000"/>
                <w:sz w:val="21"/>
                <w:szCs w:val="21"/>
              </w:rPr>
              <w:t>QB/SADL.GL-08-2018</w:t>
            </w:r>
          </w:p>
          <w:p>
            <w:pPr>
              <w:spacing w:line="280" w:lineRule="exact"/>
              <w:rPr>
                <w:rFonts w:hint="eastAsia" w:ascii="宋体" w:hAnsi="宋体" w:eastAsia="宋体" w:cs="宋体"/>
                <w:b/>
                <w:kern w:val="2"/>
                <w:sz w:val="21"/>
                <w:szCs w:val="21"/>
                <w:lang w:val="en-US" w:eastAsia="zh-CN" w:bidi="ar-SA"/>
              </w:rPr>
            </w:pPr>
            <w:r>
              <w:rPr>
                <w:rFonts w:hint="eastAsia" w:ascii="宋体" w:hAnsi="宋体" w:cs="宋体"/>
                <w:color w:val="FF0000"/>
                <w:sz w:val="21"/>
                <w:szCs w:val="21"/>
              </w:rPr>
              <w:t xml:space="preserve">    </w:t>
            </w:r>
            <w:r>
              <w:rPr>
                <w:rFonts w:hint="eastAsia" w:ascii="宋体" w:hAnsi="宋体" w:cs="宋体"/>
                <w:color w:val="000000"/>
                <w:sz w:val="21"/>
                <w:szCs w:val="21"/>
              </w:rPr>
              <w:t>见：公司建立的管理文件明确了工作环境控制方面的管理要求，其中明确规定了工作环境管理的工作职责、程序、管理要求，基本覆盖标准和规范的要求，具有较好的可操作性，符合要求。</w:t>
            </w:r>
          </w:p>
        </w:tc>
        <w:tc>
          <w:tcPr>
            <w:tcW w:w="915"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025" w:type="dxa"/>
            <w:vAlign w:val="center"/>
          </w:tcPr>
          <w:p>
            <w:pPr>
              <w:spacing w:line="280" w:lineRule="exact"/>
              <w:rPr>
                <w:rFonts w:hint="eastAsia" w:ascii="宋体" w:hAnsi="宋体" w:eastAsia="宋体" w:cs="宋体"/>
                <w:b/>
                <w:kern w:val="2"/>
                <w:sz w:val="21"/>
                <w:szCs w:val="21"/>
                <w:lang w:val="en-US" w:eastAsia="zh-CN" w:bidi="ar-SA"/>
              </w:rPr>
            </w:pPr>
            <w:r>
              <w:rPr>
                <w:rFonts w:hint="eastAsia" w:ascii="宋体" w:hAnsi="宋体" w:cs="宋体"/>
                <w:sz w:val="21"/>
                <w:szCs w:val="21"/>
              </w:rPr>
              <w:t>监视和测量资源</w:t>
            </w:r>
          </w:p>
        </w:tc>
        <w:tc>
          <w:tcPr>
            <w:tcW w:w="1155" w:type="dxa"/>
            <w:vAlign w:val="center"/>
          </w:tcPr>
          <w:p>
            <w:pPr>
              <w:spacing w:line="280" w:lineRule="exact"/>
              <w:rPr>
                <w:rFonts w:hint="eastAsia" w:ascii="宋体" w:hAnsi="宋体" w:cs="宋体"/>
                <w:sz w:val="21"/>
                <w:szCs w:val="21"/>
              </w:rPr>
            </w:pPr>
            <w:r>
              <w:rPr>
                <w:rFonts w:hint="eastAsia" w:ascii="宋体" w:hAnsi="宋体" w:cs="宋体"/>
                <w:sz w:val="21"/>
                <w:szCs w:val="21"/>
              </w:rPr>
              <w:t>Q7.1.5</w:t>
            </w:r>
          </w:p>
          <w:p>
            <w:pPr>
              <w:spacing w:line="280" w:lineRule="exact"/>
              <w:rPr>
                <w:rFonts w:hint="eastAsia" w:ascii="宋体" w:hAnsi="宋体" w:eastAsia="宋体" w:cs="宋体"/>
                <w:b/>
                <w:kern w:val="2"/>
                <w:sz w:val="21"/>
                <w:szCs w:val="21"/>
                <w:lang w:val="en-US" w:eastAsia="zh-CN" w:bidi="ar-SA"/>
              </w:rPr>
            </w:pPr>
          </w:p>
        </w:tc>
        <w:tc>
          <w:tcPr>
            <w:tcW w:w="11200" w:type="dxa"/>
            <w:vAlign w:val="top"/>
          </w:tcPr>
          <w:p>
            <w:pPr>
              <w:numPr>
                <w:ilvl w:val="0"/>
                <w:numId w:val="1"/>
              </w:numPr>
              <w:spacing w:line="280" w:lineRule="exact"/>
              <w:rPr>
                <w:rFonts w:hint="eastAsia" w:ascii="宋体" w:hAnsi="宋体" w:cs="宋体"/>
                <w:sz w:val="21"/>
                <w:szCs w:val="21"/>
              </w:rPr>
            </w:pPr>
            <w:r>
              <w:rPr>
                <w:rFonts w:hint="eastAsia" w:ascii="宋体" w:hAnsi="宋体" w:cs="宋体"/>
                <w:sz w:val="21"/>
                <w:szCs w:val="21"/>
              </w:rPr>
              <w:t>询问生产部长对监视和测量设备的控制情况，部长刘文良介绍：公司配备了游标卡尺、耐压测试仪、接地电阻测试仪、电子式绝缘电阻表、无功功率补偿装置工频过电压保护测试仪等监视测量设备，未发生监视和测量设备的租赁。按照公司的《监视和测量设备控制程序》QB/SADL.CX17-2018进行校准、检定、维护和保养，以保持其完好状态。未经校准的测量设备或测量设备失准时均不得用于确保有效结果的测量活动中，确保测量结果准确，可追溯。</w:t>
            </w:r>
          </w:p>
          <w:p>
            <w:pPr>
              <w:spacing w:line="280" w:lineRule="exact"/>
              <w:ind w:firstLine="480"/>
              <w:rPr>
                <w:rFonts w:hint="eastAsia" w:ascii="宋体" w:hAnsi="宋体" w:cs="宋体"/>
                <w:sz w:val="21"/>
                <w:szCs w:val="21"/>
              </w:rPr>
            </w:pPr>
            <w:r>
              <w:rPr>
                <w:rFonts w:hint="eastAsia" w:ascii="宋体" w:hAnsi="宋体" w:cs="宋体"/>
                <w:color w:val="000000"/>
                <w:sz w:val="21"/>
                <w:szCs w:val="21"/>
              </w:rPr>
              <w:t>查见，</w:t>
            </w:r>
            <w:r>
              <w:rPr>
                <w:rFonts w:hint="eastAsia" w:ascii="宋体" w:hAnsi="宋体" w:cs="宋体"/>
                <w:sz w:val="21"/>
                <w:szCs w:val="21"/>
              </w:rPr>
              <w:t>《监视和测量设备控制程序》QB/SADL.CX17-2018对施工所需监视和测量设备进行了控制管理，内容详实，可操作性强，符合标准要求。</w:t>
            </w:r>
          </w:p>
          <w:p>
            <w:pPr>
              <w:spacing w:line="280" w:lineRule="exact"/>
              <w:ind w:firstLine="480"/>
              <w:rPr>
                <w:rFonts w:hint="eastAsia" w:ascii="宋体" w:hAnsi="宋体" w:cs="宋体"/>
                <w:sz w:val="21"/>
                <w:szCs w:val="21"/>
              </w:rPr>
            </w:pPr>
            <w:r>
              <w:rPr>
                <w:rFonts w:hint="eastAsia" w:ascii="宋体" w:hAnsi="宋体" w:cs="宋体"/>
                <w:color w:val="000000"/>
                <w:sz w:val="21"/>
                <w:szCs w:val="21"/>
              </w:rPr>
              <w:t>查见，《监视和测量设备台账》，台账中记</w:t>
            </w:r>
            <w:r>
              <w:rPr>
                <w:rFonts w:hint="eastAsia" w:ascii="宋体" w:hAnsi="宋体" w:cs="宋体"/>
                <w:sz w:val="21"/>
                <w:szCs w:val="21"/>
              </w:rPr>
              <w:t>录了：游标卡尺、耐压测试仪、接地电阻测试仪、电子式绝缘电阻表、无功功率补偿装置工频过电压保护测试仪等，基本满足施工需要。</w:t>
            </w:r>
          </w:p>
          <w:p>
            <w:pPr>
              <w:spacing w:line="280" w:lineRule="exact"/>
              <w:ind w:firstLine="480"/>
              <w:rPr>
                <w:rFonts w:hint="eastAsia" w:ascii="宋体" w:hAnsi="宋体" w:cs="宋体"/>
                <w:color w:val="000000"/>
                <w:sz w:val="21"/>
                <w:szCs w:val="21"/>
              </w:rPr>
            </w:pPr>
            <w:r>
              <w:rPr>
                <w:rFonts w:hint="eastAsia" w:ascii="宋体" w:hAnsi="宋体" w:cs="宋体"/>
                <w:sz w:val="21"/>
                <w:szCs w:val="21"/>
              </w:rPr>
              <w:t>查见，《监视和测量设备周期检定计划》，对应进行检定的钢卷尺、游标卡尺规定了检定周期，对内部自校的钢卷尺、游标卡尺等明确了自校要求，基本符合。</w:t>
            </w:r>
          </w:p>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抽见，《游标卡尺检定证书》：规格型号：0-300mm，证书编号：TJYS-5CH2-2019-DGY1-3号  检定有效期至：20</w:t>
            </w:r>
            <w:r>
              <w:rPr>
                <w:rFonts w:hint="eastAsia" w:ascii="宋体" w:hAnsi="宋体" w:cs="宋体"/>
                <w:color w:val="000000"/>
                <w:sz w:val="21"/>
                <w:szCs w:val="21"/>
                <w:lang w:val="en-US" w:eastAsia="zh-CN"/>
              </w:rPr>
              <w:t>20</w:t>
            </w:r>
            <w:r>
              <w:rPr>
                <w:rFonts w:hint="eastAsia" w:ascii="宋体" w:hAnsi="宋体" w:cs="宋体"/>
                <w:color w:val="000000"/>
                <w:sz w:val="21"/>
                <w:szCs w:val="21"/>
              </w:rPr>
              <w:t>.01.02   检定机构：天津市检测技术研究所，检定结论：合格。</w:t>
            </w:r>
          </w:p>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抽见，《耐压测试仪检定证书》：规格型号：MS2670FAN，证书编号：2019009号  检定日期至：20</w:t>
            </w:r>
            <w:r>
              <w:rPr>
                <w:rFonts w:hint="eastAsia" w:ascii="宋体" w:hAnsi="宋体" w:cs="宋体"/>
                <w:color w:val="000000"/>
                <w:sz w:val="21"/>
                <w:szCs w:val="21"/>
                <w:lang w:val="en-US" w:eastAsia="zh-CN"/>
              </w:rPr>
              <w:t>20</w:t>
            </w:r>
            <w:r>
              <w:rPr>
                <w:rFonts w:hint="eastAsia" w:ascii="宋体" w:hAnsi="宋体" w:cs="宋体"/>
                <w:color w:val="000000"/>
                <w:sz w:val="21"/>
                <w:szCs w:val="21"/>
              </w:rPr>
              <w:t>年1月2日   检定机构：天津市电工技术科学研究院，检定结论：合格。</w:t>
            </w:r>
          </w:p>
          <w:p>
            <w:pPr>
              <w:spacing w:line="280" w:lineRule="exact"/>
              <w:ind w:firstLine="105" w:firstLineChars="50"/>
              <w:rPr>
                <w:rFonts w:hint="eastAsia" w:ascii="宋体" w:hAnsi="宋体" w:cs="宋体"/>
                <w:color w:val="000000"/>
                <w:sz w:val="21"/>
                <w:szCs w:val="21"/>
              </w:rPr>
            </w:pPr>
            <w:r>
              <w:rPr>
                <w:rFonts w:hint="eastAsia" w:ascii="宋体" w:hAnsi="宋体" w:cs="宋体"/>
                <w:color w:val="000000"/>
                <w:sz w:val="21"/>
                <w:szCs w:val="21"/>
              </w:rPr>
              <w:t xml:space="preserve">   依据公司建立的《监视和测量设备自检规程》，项目部对钢卷尺、游标卡尺等进行了内校，填写内校记录。 </w:t>
            </w:r>
          </w:p>
          <w:p>
            <w:pPr>
              <w:spacing w:line="280" w:lineRule="exact"/>
              <w:rPr>
                <w:rFonts w:hint="eastAsia" w:ascii="宋体" w:hAnsi="宋体" w:cs="宋体"/>
                <w:color w:val="FF0000"/>
                <w:sz w:val="21"/>
                <w:szCs w:val="21"/>
              </w:rPr>
            </w:pPr>
            <w:r>
              <w:rPr>
                <w:rFonts w:hint="eastAsia" w:ascii="宋体" w:hAnsi="宋体" w:cs="宋体"/>
                <w:sz w:val="21"/>
                <w:szCs w:val="21"/>
              </w:rPr>
              <w:t xml:space="preserve">    查到《监视和测量设备内校记录表》，包括</w:t>
            </w:r>
            <w:r>
              <w:rPr>
                <w:rFonts w:hint="eastAsia" w:ascii="宋体" w:hAnsi="宋体" w:cs="宋体"/>
                <w:color w:val="000000"/>
                <w:sz w:val="21"/>
                <w:szCs w:val="21"/>
              </w:rPr>
              <w:t>钢卷尺、游标卡尺</w:t>
            </w:r>
            <w:r>
              <w:rPr>
                <w:rFonts w:hint="eastAsia" w:ascii="宋体" w:hAnsi="宋体" w:cs="宋体"/>
                <w:sz w:val="21"/>
                <w:szCs w:val="21"/>
              </w:rPr>
              <w:t>等，内校项目包括尺寸测量、方正度测量、外观检查等，基本符合。自校时间均为</w:t>
            </w:r>
            <w:r>
              <w:rPr>
                <w:rFonts w:hint="eastAsia" w:ascii="宋体" w:hAnsi="宋体" w:cs="宋体"/>
                <w:color w:val="000000"/>
                <w:sz w:val="21"/>
                <w:szCs w:val="21"/>
              </w:rPr>
              <w:t>201</w:t>
            </w:r>
            <w:r>
              <w:rPr>
                <w:rFonts w:hint="eastAsia" w:ascii="宋体" w:hAnsi="宋体" w:cs="宋体"/>
                <w:color w:val="000000"/>
                <w:sz w:val="21"/>
                <w:szCs w:val="21"/>
                <w:lang w:val="en-US" w:eastAsia="zh-CN"/>
              </w:rPr>
              <w:t>9</w:t>
            </w:r>
            <w:r>
              <w:rPr>
                <w:rFonts w:hint="eastAsia" w:ascii="宋体" w:hAnsi="宋体" w:cs="宋体"/>
                <w:color w:val="000000"/>
                <w:sz w:val="21"/>
                <w:szCs w:val="21"/>
              </w:rPr>
              <w:t>.12.20。</w:t>
            </w:r>
          </w:p>
          <w:p>
            <w:pPr>
              <w:spacing w:line="280" w:lineRule="exact"/>
              <w:rPr>
                <w:rFonts w:hint="eastAsia" w:ascii="宋体" w:hAnsi="宋体" w:cs="宋体"/>
                <w:sz w:val="21"/>
                <w:szCs w:val="21"/>
              </w:rPr>
            </w:pPr>
            <w:r>
              <w:rPr>
                <w:rFonts w:hint="eastAsia" w:ascii="宋体" w:hAnsi="宋体" w:cs="宋体"/>
                <w:sz w:val="21"/>
                <w:szCs w:val="21"/>
              </w:rPr>
              <w:t xml:space="preserve">    测量设备校准后由生产部专人保存校准记录，并在测量设备上以标签标明其校准状态，未经校准的测量设备不能用于确保有效结果的测量活动上。</w:t>
            </w:r>
          </w:p>
          <w:p>
            <w:pPr>
              <w:spacing w:line="280" w:lineRule="exact"/>
              <w:ind w:firstLine="480" w:firstLineChars="0"/>
              <w:rPr>
                <w:rFonts w:hint="eastAsia" w:ascii="宋体" w:hAnsi="宋体" w:eastAsia="宋体" w:cs="宋体"/>
                <w:kern w:val="2"/>
                <w:sz w:val="21"/>
                <w:szCs w:val="21"/>
                <w:lang w:val="en-US" w:eastAsia="zh-CN" w:bidi="ar-SA"/>
              </w:rPr>
            </w:pPr>
            <w:r>
              <w:rPr>
                <w:rFonts w:hint="eastAsia" w:ascii="宋体" w:hAnsi="宋体" w:cs="宋体"/>
                <w:sz w:val="21"/>
                <w:szCs w:val="21"/>
              </w:rPr>
              <w:t>询问刘文良，公司对失效的监视和测量设备的控制情况，刘部长</w:t>
            </w:r>
            <w:r>
              <w:rPr>
                <w:rFonts w:hint="eastAsia" w:ascii="宋体" w:hAnsi="宋体" w:cs="宋体"/>
                <w:sz w:val="21"/>
                <w:szCs w:val="21"/>
                <w:lang w:val="en-US" w:eastAsia="zh-CN"/>
              </w:rPr>
              <w:t>介绍</w:t>
            </w:r>
            <w:r>
              <w:rPr>
                <w:rFonts w:hint="eastAsia" w:ascii="宋体" w:hAnsi="宋体" w:cs="宋体"/>
                <w:sz w:val="21"/>
                <w:szCs w:val="21"/>
              </w:rPr>
              <w:t>，对于测量精度失效的测量设备，由工程质量部评价和记录该设备测量结果的有效性，追溯到有效结果的测量时为止，对无效的测量结果重新进行测量。对不符合要求的设备送检测机构校准或修理。项目部保存设备校准和检查记录。符合标准要求。经了解，公司没有计算机软件用于监测活动。</w:t>
            </w:r>
          </w:p>
        </w:tc>
        <w:tc>
          <w:tcPr>
            <w:tcW w:w="915"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1025" w:type="dxa"/>
            <w:vAlign w:val="center"/>
          </w:tcPr>
          <w:p>
            <w:pPr>
              <w:spacing w:line="280" w:lineRule="exact"/>
              <w:rPr>
                <w:rFonts w:hint="eastAsia" w:ascii="宋体" w:hAnsi="宋体" w:cs="宋体"/>
                <w:sz w:val="21"/>
                <w:szCs w:val="21"/>
              </w:rPr>
            </w:pPr>
            <w:r>
              <w:rPr>
                <w:rFonts w:hint="eastAsia" w:ascii="宋体" w:hAnsi="宋体" w:cs="宋体"/>
                <w:sz w:val="21"/>
                <w:szCs w:val="21"/>
              </w:rPr>
              <w:t>运行的策划和控制</w:t>
            </w:r>
          </w:p>
          <w:p>
            <w:pPr>
              <w:spacing w:line="280" w:lineRule="exact"/>
              <w:rPr>
                <w:rFonts w:hint="eastAsia" w:ascii="宋体" w:hAnsi="宋体" w:eastAsia="宋体" w:cs="宋体"/>
                <w:b/>
                <w:kern w:val="2"/>
                <w:sz w:val="21"/>
                <w:szCs w:val="21"/>
                <w:lang w:val="en-US" w:eastAsia="zh-CN" w:bidi="ar-SA"/>
              </w:rPr>
            </w:pPr>
          </w:p>
        </w:tc>
        <w:tc>
          <w:tcPr>
            <w:tcW w:w="1155" w:type="dxa"/>
            <w:vAlign w:val="center"/>
          </w:tcPr>
          <w:p>
            <w:pPr>
              <w:spacing w:line="280" w:lineRule="exact"/>
              <w:rPr>
                <w:rFonts w:hint="eastAsia" w:ascii="宋体" w:hAnsi="宋体" w:cs="宋体"/>
                <w:sz w:val="21"/>
                <w:szCs w:val="21"/>
              </w:rPr>
            </w:pPr>
            <w:r>
              <w:rPr>
                <w:rFonts w:hint="eastAsia" w:ascii="宋体" w:hAnsi="宋体" w:cs="宋体"/>
                <w:sz w:val="21"/>
                <w:szCs w:val="21"/>
              </w:rPr>
              <w:t>Q8.1</w:t>
            </w:r>
          </w:p>
          <w:p>
            <w:pPr>
              <w:spacing w:line="280" w:lineRule="exact"/>
              <w:rPr>
                <w:rFonts w:hint="eastAsia" w:ascii="宋体" w:hAnsi="宋体" w:eastAsia="宋体" w:cs="宋体"/>
                <w:b/>
                <w:kern w:val="2"/>
                <w:sz w:val="21"/>
                <w:szCs w:val="21"/>
                <w:lang w:val="en-US" w:eastAsia="zh-CN" w:bidi="ar-SA"/>
              </w:rPr>
            </w:pPr>
          </w:p>
        </w:tc>
        <w:tc>
          <w:tcPr>
            <w:tcW w:w="11200" w:type="dxa"/>
            <w:vAlign w:val="top"/>
          </w:tcPr>
          <w:p>
            <w:pPr>
              <w:widowControl/>
              <w:jc w:val="left"/>
              <w:rPr>
                <w:rFonts w:hint="eastAsia" w:ascii="宋体" w:hAnsi="宋体" w:cs="宋体"/>
                <w:sz w:val="21"/>
                <w:szCs w:val="21"/>
              </w:rPr>
            </w:pPr>
            <w:r>
              <w:rPr>
                <w:rFonts w:hint="eastAsia" w:ascii="宋体" w:hAnsi="宋体" w:cs="宋体"/>
                <w:sz w:val="21"/>
                <w:szCs w:val="21"/>
              </w:rPr>
              <w:t>对于管理体系覆盖范围为资质范围内10KV高压开关柜、分支箱、变压器、低压抽出式开关设备、箱式变电站、低压无功补偿装置的制造及相关服务</w:t>
            </w:r>
          </w:p>
          <w:p>
            <w:pPr>
              <w:spacing w:line="280" w:lineRule="exact"/>
              <w:ind w:firstLine="420" w:firstLineChars="200"/>
              <w:jc w:val="left"/>
              <w:rPr>
                <w:rFonts w:hint="eastAsia" w:ascii="宋体" w:hAnsi="宋体" w:cs="宋体"/>
                <w:sz w:val="21"/>
                <w:szCs w:val="21"/>
              </w:rPr>
            </w:pPr>
            <w:r>
              <w:rPr>
                <w:rFonts w:hint="eastAsia" w:ascii="宋体" w:hAnsi="宋体" w:cs="宋体"/>
                <w:sz w:val="21"/>
                <w:szCs w:val="21"/>
              </w:rPr>
              <w:t>公司已在管理体系运行之初进行了产品实现的策划，形成的各类文件《工程材料、构配件和设备控制程序》《过程监视和测量控制程序》《产品的监视和测量控制程序》等能确保正常的服务实现。</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针对产品质量要求确定采购、生产过程服务的检验要求，依据顾客的要求中华人民共和国合同法、中华人民共和国公司法、中华人民共和国反不正当竞争法等国家/行业标准实施销售。</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编制《工程材料、构配件和设备控制程序》《过程监视和测量控制程序》《产品的监视和测量控制程序》，指导服务按规定进行。</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策划了10KV高压开关柜、分支箱、变压器、低压抽出式开关设备、箱式变电站、低压无功补偿装置的生产流程：</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产品生产流程：</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变压器</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外进壳体、绕组制作、外进铁芯→套装→试验验收→铭牌、包装→入库</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箱式变电站</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底托制作、墙体、屋顶制做、高压柜装配、低压柜装配、变压器制做→装配→试验验收→铭牌、包装→入库</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配电箱、低压固定柜、低压无功外传装置、低压抽出式开关设备。</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 xml:space="preserve">  外进箱体、柜体→组装→装配→试验验收→铭牌、包装→入库</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干式变压器</w:t>
            </w:r>
          </w:p>
          <w:p>
            <w:pPr>
              <w:spacing w:line="280" w:lineRule="exact"/>
              <w:rPr>
                <w:rFonts w:hint="eastAsia" w:ascii="宋体" w:hAnsi="宋体" w:cs="宋体"/>
                <w:sz w:val="21"/>
                <w:szCs w:val="21"/>
              </w:rPr>
            </w:pPr>
            <w:r>
              <w:rPr>
                <w:rFonts w:hint="eastAsia" w:ascii="宋体" w:hAnsi="宋体" w:cs="宋体"/>
                <w:sz w:val="21"/>
                <w:szCs w:val="21"/>
              </w:rPr>
              <w:t>外进绕组、铁芯、壳体→组装→实验验收→铭牌、包装→入库</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生产过程中使用的设备：冲孔机、切排机、弯排机、螺柱焊机、金方圆数控剪板机、金方圆数控折弯机、吊车等，以上设备配置适宜，能确保服务的实现。</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主要监测设备有：游标卡尺、耐压测试仪、接地电阻测试仪、电子式绝缘电阻表、无功功率补偿装置工频过电压保护测试仪等。</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以上产品实现的策划工作基本符合要求，能确保产品实现和质量目标的实现。</w:t>
            </w:r>
          </w:p>
          <w:p>
            <w:pPr>
              <w:spacing w:line="280" w:lineRule="exact"/>
              <w:ind w:firstLine="420" w:firstLineChars="200"/>
              <w:rPr>
                <w:rFonts w:hint="eastAsia" w:ascii="宋体" w:hAnsi="宋体" w:eastAsia="宋体" w:cs="宋体"/>
                <w:b/>
                <w:kern w:val="2"/>
                <w:sz w:val="21"/>
                <w:szCs w:val="21"/>
                <w:lang w:val="en-US" w:eastAsia="zh-CN" w:bidi="ar-SA"/>
              </w:rPr>
            </w:pPr>
            <w:r>
              <w:rPr>
                <w:rFonts w:hint="eastAsia" w:ascii="宋体" w:hAnsi="宋体" w:cs="宋体"/>
                <w:sz w:val="21"/>
                <w:szCs w:val="21"/>
              </w:rPr>
              <w:t>目前生产未发生外包过程。</w:t>
            </w:r>
          </w:p>
        </w:tc>
        <w:tc>
          <w:tcPr>
            <w:tcW w:w="915" w:type="dxa"/>
          </w:tcPr>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1025" w:type="dxa"/>
            <w:vAlign w:val="center"/>
          </w:tcPr>
          <w:p>
            <w:pPr>
              <w:spacing w:line="280" w:lineRule="exact"/>
              <w:rPr>
                <w:rFonts w:hint="eastAsia" w:ascii="宋体" w:hAnsi="宋体" w:eastAsia="宋体" w:cs="宋体"/>
                <w:b/>
                <w:kern w:val="2"/>
                <w:sz w:val="21"/>
                <w:szCs w:val="21"/>
                <w:lang w:val="en-US" w:eastAsia="zh-CN" w:bidi="ar-SA"/>
              </w:rPr>
            </w:pPr>
            <w:r>
              <w:rPr>
                <w:rFonts w:hint="eastAsia" w:ascii="宋体" w:hAnsi="宋体" w:cs="宋体"/>
                <w:sz w:val="21"/>
                <w:szCs w:val="21"/>
              </w:rPr>
              <w:t>设计和开发</w:t>
            </w:r>
          </w:p>
        </w:tc>
        <w:tc>
          <w:tcPr>
            <w:tcW w:w="1155" w:type="dxa"/>
            <w:vAlign w:val="center"/>
          </w:tcPr>
          <w:p>
            <w:pPr>
              <w:spacing w:line="280" w:lineRule="exact"/>
              <w:rPr>
                <w:rFonts w:hint="eastAsia" w:ascii="宋体" w:hAnsi="宋体" w:eastAsia="宋体" w:cs="宋体"/>
                <w:b/>
                <w:kern w:val="2"/>
                <w:sz w:val="21"/>
                <w:szCs w:val="21"/>
                <w:lang w:val="en-US" w:eastAsia="zh-CN" w:bidi="ar-SA"/>
              </w:rPr>
            </w:pPr>
            <w:r>
              <w:rPr>
                <w:rFonts w:hint="eastAsia" w:ascii="宋体" w:hAnsi="宋体" w:cs="宋体"/>
                <w:sz w:val="21"/>
                <w:szCs w:val="21"/>
              </w:rPr>
              <w:t>Q8.3</w:t>
            </w:r>
          </w:p>
        </w:tc>
        <w:tc>
          <w:tcPr>
            <w:tcW w:w="11200" w:type="dxa"/>
            <w:vAlign w:val="top"/>
          </w:tcPr>
          <w:p>
            <w:pPr>
              <w:spacing w:line="280" w:lineRule="exact"/>
              <w:ind w:firstLine="480" w:firstLineChars="0"/>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公司生产的10KV高压开关柜、分支箱、变压器、低压抽出式开关设备、箱式变电站、低压无功补偿装置</w:t>
            </w:r>
            <w:r>
              <w:rPr>
                <w:rFonts w:hint="eastAsia" w:ascii="宋体" w:hAnsi="宋体" w:cs="宋体"/>
                <w:sz w:val="21"/>
                <w:szCs w:val="21"/>
              </w:rPr>
              <w:t>按相关</w:t>
            </w:r>
            <w:r>
              <w:rPr>
                <w:rFonts w:hint="eastAsia" w:ascii="宋体" w:hAnsi="宋体" w:cs="宋体"/>
                <w:sz w:val="21"/>
                <w:szCs w:val="21"/>
                <w:lang w:val="en-US" w:eastAsia="zh-CN"/>
              </w:rPr>
              <w:t>标准</w:t>
            </w:r>
            <w:r>
              <w:rPr>
                <w:rFonts w:hint="eastAsia" w:ascii="宋体" w:hAnsi="宋体" w:cs="宋体"/>
                <w:sz w:val="21"/>
                <w:szCs w:val="21"/>
              </w:rPr>
              <w:t>及顾客要求进行，工作流程成熟、稳定。公司删减8.3设计开发条款不影响公司提供满足顾客和法律法规要求的服务的能力和责任，删减不适用条款理由合理。</w:t>
            </w:r>
          </w:p>
        </w:tc>
        <w:tc>
          <w:tcPr>
            <w:tcW w:w="915"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025" w:type="dxa"/>
            <w:vAlign w:val="center"/>
          </w:tcPr>
          <w:p>
            <w:pPr>
              <w:spacing w:line="280" w:lineRule="exact"/>
              <w:rPr>
                <w:rFonts w:hint="eastAsia" w:ascii="宋体" w:hAnsi="宋体" w:cs="宋体"/>
                <w:sz w:val="21"/>
                <w:szCs w:val="21"/>
              </w:rPr>
            </w:pPr>
            <w:r>
              <w:rPr>
                <w:rFonts w:hint="eastAsia" w:ascii="宋体" w:hAnsi="宋体" w:cs="宋体"/>
                <w:sz w:val="21"/>
                <w:szCs w:val="21"/>
              </w:rPr>
              <w:t>服务提供的控制</w:t>
            </w:r>
          </w:p>
          <w:p>
            <w:pPr>
              <w:spacing w:line="280" w:lineRule="exact"/>
              <w:rPr>
                <w:rFonts w:hint="eastAsia" w:ascii="宋体" w:hAnsi="宋体" w:eastAsia="宋体" w:cs="宋体"/>
                <w:b/>
                <w:kern w:val="2"/>
                <w:sz w:val="21"/>
                <w:szCs w:val="21"/>
                <w:lang w:val="en-US" w:eastAsia="zh-CN" w:bidi="ar-SA"/>
              </w:rPr>
            </w:pPr>
          </w:p>
        </w:tc>
        <w:tc>
          <w:tcPr>
            <w:tcW w:w="1155" w:type="dxa"/>
            <w:vAlign w:val="center"/>
          </w:tcPr>
          <w:p>
            <w:pPr>
              <w:spacing w:line="280" w:lineRule="exact"/>
              <w:rPr>
                <w:rFonts w:hint="eastAsia" w:ascii="宋体" w:hAnsi="宋体" w:cs="宋体"/>
                <w:sz w:val="21"/>
                <w:szCs w:val="21"/>
              </w:rPr>
            </w:pPr>
            <w:r>
              <w:rPr>
                <w:rFonts w:hint="eastAsia" w:ascii="宋体" w:hAnsi="宋体" w:cs="宋体"/>
                <w:sz w:val="21"/>
                <w:szCs w:val="21"/>
              </w:rPr>
              <w:t>Q8.5.1</w:t>
            </w:r>
          </w:p>
          <w:p>
            <w:pPr>
              <w:spacing w:line="280" w:lineRule="exact"/>
              <w:rPr>
                <w:rFonts w:hint="eastAsia" w:ascii="宋体" w:hAnsi="宋体" w:eastAsia="宋体" w:cs="宋体"/>
                <w:b/>
                <w:kern w:val="2"/>
                <w:sz w:val="21"/>
                <w:szCs w:val="21"/>
                <w:lang w:val="en-US" w:eastAsia="zh-CN" w:bidi="ar-SA"/>
              </w:rPr>
            </w:pPr>
          </w:p>
        </w:tc>
        <w:tc>
          <w:tcPr>
            <w:tcW w:w="11200" w:type="dxa"/>
            <w:vAlign w:val="top"/>
          </w:tcPr>
          <w:p>
            <w:pPr>
              <w:spacing w:line="280" w:lineRule="exact"/>
              <w:ind w:firstLine="480"/>
              <w:rPr>
                <w:rFonts w:hint="eastAsia" w:ascii="宋体" w:hAnsi="宋体" w:cs="宋体"/>
                <w:sz w:val="21"/>
                <w:szCs w:val="21"/>
              </w:rPr>
            </w:pPr>
            <w:r>
              <w:rPr>
                <w:rFonts w:hint="eastAsia" w:ascii="宋体" w:hAnsi="宋体" w:cs="宋体"/>
                <w:sz w:val="21"/>
                <w:szCs w:val="21"/>
              </w:rPr>
              <w:t>公司现场观察：</w:t>
            </w:r>
          </w:p>
          <w:p>
            <w:pPr>
              <w:spacing w:line="280" w:lineRule="exact"/>
              <w:ind w:firstLine="480"/>
              <w:rPr>
                <w:rFonts w:hint="eastAsia" w:ascii="宋体" w:hAnsi="宋体" w:cs="宋体"/>
                <w:sz w:val="21"/>
                <w:szCs w:val="21"/>
              </w:rPr>
            </w:pPr>
            <w:r>
              <w:rPr>
                <w:rFonts w:hint="eastAsia" w:ascii="宋体" w:hAnsi="宋体" w:cs="宋体"/>
                <w:sz w:val="21"/>
                <w:szCs w:val="21"/>
              </w:rPr>
              <w:t>公司已对10KV高压开关柜、分支箱、变压器、低压抽出式开关设备、箱式变电站、低压无功补偿装置的生产进行了规定和明确，由生产部刘部长负责产品的采购控制、生产过程的控制，负责办公设备日常维护与保养工作，采购单由综合部负责，组织采购后直接送至生产使用处并进行初步验收工作。</w:t>
            </w:r>
          </w:p>
          <w:p>
            <w:pPr>
              <w:spacing w:line="280" w:lineRule="exact"/>
              <w:ind w:firstLine="480"/>
              <w:rPr>
                <w:rFonts w:hint="eastAsia" w:ascii="宋体" w:hAnsi="宋体" w:cs="宋体"/>
                <w:sz w:val="21"/>
                <w:szCs w:val="21"/>
              </w:rPr>
            </w:pPr>
            <w:r>
              <w:rPr>
                <w:rFonts w:hint="eastAsia" w:ascii="宋体" w:hAnsi="宋体" w:cs="宋体"/>
                <w:sz w:val="21"/>
                <w:szCs w:val="21"/>
              </w:rPr>
              <w:t>负责人</w:t>
            </w:r>
            <w:r>
              <w:rPr>
                <w:rFonts w:hint="eastAsia" w:ascii="宋体" w:hAnsi="宋体" w:cs="宋体"/>
                <w:sz w:val="21"/>
                <w:szCs w:val="21"/>
                <w:lang w:eastAsia="zh-CN"/>
              </w:rPr>
              <w:t>介绍</w:t>
            </w:r>
            <w:r>
              <w:rPr>
                <w:rFonts w:hint="eastAsia" w:ascii="宋体" w:hAnsi="宋体" w:cs="宋体"/>
                <w:sz w:val="21"/>
                <w:szCs w:val="21"/>
              </w:rPr>
              <w:t>，生产部根据生产合同，向生产车间下达任务单，按照产品批次或顾客要求的交货期确定生产顺序。</w:t>
            </w:r>
          </w:p>
          <w:p>
            <w:pPr>
              <w:spacing w:line="280" w:lineRule="exact"/>
              <w:ind w:firstLine="480"/>
              <w:rPr>
                <w:rFonts w:hint="eastAsia" w:ascii="宋体" w:hAnsi="宋体" w:cs="宋体"/>
                <w:sz w:val="21"/>
                <w:szCs w:val="21"/>
              </w:rPr>
            </w:pPr>
            <w:r>
              <w:rPr>
                <w:rFonts w:hint="eastAsia" w:ascii="宋体" w:hAnsi="宋体" w:cs="宋体"/>
                <w:sz w:val="21"/>
                <w:szCs w:val="21"/>
              </w:rPr>
              <w:t>公司生产设备：冲孔机、切排机、弯排机、螺柱焊机、金方圆数控剪板机、金方圆数控折弯机、吊车等，维护保养完好，有保养记录并经公司综合部确认，设备能力满足销售服务的要求。</w:t>
            </w:r>
          </w:p>
          <w:p>
            <w:pPr>
              <w:spacing w:line="280" w:lineRule="exact"/>
              <w:ind w:firstLine="480"/>
              <w:rPr>
                <w:rFonts w:hint="eastAsia" w:ascii="宋体" w:hAnsi="宋体" w:cs="宋体"/>
                <w:sz w:val="21"/>
                <w:szCs w:val="21"/>
              </w:rPr>
            </w:pPr>
            <w:r>
              <w:rPr>
                <w:rFonts w:hint="eastAsia" w:ascii="宋体" w:hAnsi="宋体" w:cs="宋体"/>
                <w:sz w:val="21"/>
                <w:szCs w:val="21"/>
              </w:rPr>
              <w:t>监视测量设备：游标卡尺、耐压测试仪、接地电阻测试仪、电子式绝缘电阻表、无功功率补偿装置工频过电压保护测试仪等均已检定。</w:t>
            </w:r>
          </w:p>
          <w:p>
            <w:pPr>
              <w:spacing w:line="280" w:lineRule="exact"/>
              <w:ind w:firstLine="480"/>
              <w:rPr>
                <w:rFonts w:hint="eastAsia" w:ascii="宋体" w:hAnsi="宋体" w:cs="宋体"/>
                <w:sz w:val="21"/>
                <w:szCs w:val="21"/>
              </w:rPr>
            </w:pPr>
            <w:r>
              <w:rPr>
                <w:rFonts w:hint="eastAsia" w:ascii="宋体" w:hAnsi="宋体" w:cs="宋体"/>
                <w:sz w:val="21"/>
                <w:szCs w:val="21"/>
              </w:rPr>
              <w:t>生产人员：李兆东、王俊祥、于海臣等，经公司培训并确认合格上岗。</w:t>
            </w:r>
          </w:p>
          <w:p>
            <w:pPr>
              <w:spacing w:line="280" w:lineRule="exact"/>
              <w:ind w:firstLine="315" w:firstLineChars="150"/>
              <w:rPr>
                <w:rFonts w:hint="eastAsia" w:ascii="宋体" w:hAnsi="宋体" w:cs="宋体"/>
                <w:sz w:val="21"/>
                <w:szCs w:val="21"/>
              </w:rPr>
            </w:pPr>
            <w:r>
              <w:rPr>
                <w:rFonts w:hint="eastAsia" w:ascii="宋体" w:hAnsi="宋体" w:cs="宋体"/>
                <w:sz w:val="21"/>
                <w:szCs w:val="21"/>
              </w:rPr>
              <w:t>设备的能力和精度均可以确保产品性能的控制要求，基本适宜。按照监视和测量设备的使用要求公司对其定期检定和校准。</w:t>
            </w:r>
          </w:p>
          <w:p>
            <w:pPr>
              <w:spacing w:line="280" w:lineRule="exact"/>
              <w:ind w:firstLine="315" w:firstLineChars="150"/>
              <w:rPr>
                <w:rFonts w:hint="eastAsia" w:ascii="宋体" w:hAnsi="宋体" w:cs="宋体"/>
                <w:sz w:val="21"/>
                <w:szCs w:val="21"/>
              </w:rPr>
            </w:pPr>
            <w:r>
              <w:rPr>
                <w:rFonts w:hint="eastAsia" w:ascii="宋体" w:hAnsi="宋体" w:cs="宋体"/>
                <w:sz w:val="21"/>
                <w:szCs w:val="21"/>
              </w:rPr>
              <w:t>查到《作业指导书》，规定了10KV高压开关柜、分支箱、变压器、低压抽出式开关设备、箱式变电站、低压无功补偿装置的生产过程和应注意的问题。</w:t>
            </w:r>
          </w:p>
          <w:p>
            <w:pPr>
              <w:spacing w:line="280" w:lineRule="exact"/>
              <w:ind w:firstLine="315" w:firstLineChars="150"/>
              <w:rPr>
                <w:rFonts w:hint="eastAsia" w:ascii="宋体" w:hAnsi="宋体" w:cs="宋体"/>
                <w:sz w:val="21"/>
                <w:szCs w:val="21"/>
              </w:rPr>
            </w:pPr>
            <w:r>
              <w:rPr>
                <w:rFonts w:hint="eastAsia" w:ascii="宋体" w:hAnsi="宋体" w:cs="宋体"/>
                <w:sz w:val="21"/>
                <w:szCs w:val="21"/>
              </w:rPr>
              <w:t>查到：20</w:t>
            </w:r>
            <w:r>
              <w:rPr>
                <w:rFonts w:hint="eastAsia" w:ascii="宋体" w:hAnsi="宋体" w:cs="宋体"/>
                <w:sz w:val="21"/>
                <w:szCs w:val="21"/>
                <w:lang w:val="en-US" w:eastAsia="zh-CN"/>
              </w:rPr>
              <w:t>20</w:t>
            </w:r>
            <w:r>
              <w:rPr>
                <w:rFonts w:hint="eastAsia" w:ascii="宋体" w:hAnsi="宋体" w:cs="宋体"/>
                <w:sz w:val="21"/>
                <w:szCs w:val="21"/>
              </w:rPr>
              <w:t>年1月9日《生产任务单》；生产品种：10KV高压开关柜，包括：数量 工期等信息</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查到：20</w:t>
            </w:r>
            <w:r>
              <w:rPr>
                <w:rFonts w:hint="eastAsia" w:ascii="宋体" w:hAnsi="宋体" w:cs="宋体"/>
                <w:sz w:val="21"/>
                <w:szCs w:val="21"/>
                <w:lang w:val="en-US" w:eastAsia="zh-CN"/>
              </w:rPr>
              <w:t>20</w:t>
            </w:r>
            <w:r>
              <w:rPr>
                <w:rFonts w:hint="eastAsia" w:ascii="宋体" w:hAnsi="宋体" w:cs="宋体"/>
                <w:sz w:val="21"/>
                <w:szCs w:val="21"/>
              </w:rPr>
              <w:t>年1</w:t>
            </w:r>
            <w:r>
              <w:rPr>
                <w:rFonts w:hint="eastAsia" w:ascii="宋体" w:hAnsi="宋体" w:cs="宋体"/>
                <w:sz w:val="21"/>
                <w:szCs w:val="21"/>
                <w:lang w:val="en-US" w:eastAsia="zh-CN"/>
              </w:rPr>
              <w:t>2</w:t>
            </w:r>
            <w:r>
              <w:rPr>
                <w:rFonts w:hint="eastAsia" w:ascii="宋体" w:hAnsi="宋体" w:cs="宋体"/>
                <w:sz w:val="21"/>
                <w:szCs w:val="21"/>
              </w:rPr>
              <w:t>月20日《生产任务单》；生产品种：箱式变电站，包括：数量工期等信息</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查到：20</w:t>
            </w:r>
            <w:r>
              <w:rPr>
                <w:rFonts w:hint="eastAsia" w:ascii="宋体" w:hAnsi="宋体" w:cs="宋体"/>
                <w:sz w:val="21"/>
                <w:szCs w:val="21"/>
                <w:lang w:val="en-US" w:eastAsia="zh-CN"/>
              </w:rPr>
              <w:t>20</w:t>
            </w:r>
            <w:r>
              <w:rPr>
                <w:rFonts w:hint="eastAsia" w:ascii="宋体" w:hAnsi="宋体" w:cs="宋体"/>
                <w:sz w:val="21"/>
                <w:szCs w:val="21"/>
              </w:rPr>
              <w:t>年</w:t>
            </w:r>
            <w:r>
              <w:rPr>
                <w:rFonts w:hint="eastAsia" w:ascii="宋体" w:hAnsi="宋体" w:cs="宋体"/>
                <w:sz w:val="21"/>
                <w:szCs w:val="21"/>
                <w:lang w:val="en-US" w:eastAsia="zh-CN"/>
              </w:rPr>
              <w:t>3</w:t>
            </w:r>
            <w:r>
              <w:rPr>
                <w:rFonts w:hint="eastAsia" w:ascii="宋体" w:hAnsi="宋体" w:cs="宋体"/>
                <w:sz w:val="21"/>
                <w:szCs w:val="21"/>
              </w:rPr>
              <w:t>月30日《生产任务单》；生产品种：</w:t>
            </w:r>
            <w:r>
              <w:rPr>
                <w:rFonts w:hint="eastAsia" w:ascii="宋体" w:hAnsi="宋体" w:cs="宋体"/>
                <w:sz w:val="21"/>
                <w:szCs w:val="21"/>
                <w:lang w:val="en-US" w:eastAsia="zh-CN"/>
              </w:rPr>
              <w:t>分支</w:t>
            </w:r>
            <w:r>
              <w:rPr>
                <w:rFonts w:hint="eastAsia" w:ascii="宋体" w:hAnsi="宋体" w:cs="宋体"/>
                <w:sz w:val="21"/>
                <w:szCs w:val="21"/>
              </w:rPr>
              <w:t>箱、低压固定柜、低压无功补偿装置、低压抽出式开关设备，包括：数量 工期等信息</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查到：20</w:t>
            </w:r>
            <w:r>
              <w:rPr>
                <w:rFonts w:hint="eastAsia" w:ascii="宋体" w:hAnsi="宋体" w:cs="宋体"/>
                <w:sz w:val="21"/>
                <w:szCs w:val="21"/>
                <w:lang w:val="en-US" w:eastAsia="zh-CN"/>
              </w:rPr>
              <w:t>20</w:t>
            </w:r>
            <w:r>
              <w:rPr>
                <w:rFonts w:hint="eastAsia" w:ascii="宋体" w:hAnsi="宋体" w:cs="宋体"/>
                <w:sz w:val="21"/>
                <w:szCs w:val="21"/>
              </w:rPr>
              <w:t>年</w:t>
            </w:r>
            <w:r>
              <w:rPr>
                <w:rFonts w:hint="eastAsia" w:ascii="宋体" w:hAnsi="宋体" w:cs="宋体"/>
                <w:sz w:val="21"/>
                <w:szCs w:val="21"/>
                <w:lang w:val="en-US" w:eastAsia="zh-CN"/>
              </w:rPr>
              <w:t>2</w:t>
            </w:r>
            <w:r>
              <w:rPr>
                <w:rFonts w:hint="eastAsia" w:ascii="宋体" w:hAnsi="宋体" w:cs="宋体"/>
                <w:sz w:val="21"/>
                <w:szCs w:val="21"/>
              </w:rPr>
              <w:t>月2</w:t>
            </w:r>
            <w:r>
              <w:rPr>
                <w:rFonts w:hint="eastAsia" w:ascii="宋体" w:hAnsi="宋体" w:cs="宋体"/>
                <w:sz w:val="21"/>
                <w:szCs w:val="21"/>
                <w:lang w:val="en-US" w:eastAsia="zh-CN"/>
              </w:rPr>
              <w:t>6</w:t>
            </w:r>
            <w:r>
              <w:rPr>
                <w:rFonts w:hint="eastAsia" w:ascii="宋体" w:hAnsi="宋体" w:cs="宋体"/>
                <w:sz w:val="21"/>
                <w:szCs w:val="21"/>
              </w:rPr>
              <w:t>日《生产任务单》；生产品种：干式变压器 包括：数量 工期等信息</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刘部长介绍，识别的“特殊过程”为：焊接过程、喷涂过程。识别的基本充分适宜，并且具有一定的行业特点。</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对于上述“特殊过程”，规定了过程评审和批准的准则。查到《过程能力确认表》，包括生产人员：姓名、工作能力、培训等。过程设备：设备名称、设备过程能力、设备运行情况。主要材料：材料名称、主要成分及性能、与工艺要求的符合性。工艺方法：主要工艺流程等。符合要求。</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 xml:space="preserve">查到焊工：邱振宝  </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 xml:space="preserve">证号：1606040000300149的确认记录，符合要求。 </w:t>
            </w:r>
          </w:p>
          <w:p>
            <w:pPr>
              <w:spacing w:line="280" w:lineRule="exact"/>
              <w:rPr>
                <w:rFonts w:hint="eastAsia" w:ascii="宋体" w:hAnsi="宋体" w:eastAsia="宋体" w:cs="宋体"/>
                <w:b/>
                <w:kern w:val="2"/>
                <w:sz w:val="21"/>
                <w:szCs w:val="21"/>
                <w:lang w:val="en-US" w:eastAsia="zh-CN" w:bidi="ar-SA"/>
              </w:rPr>
            </w:pPr>
            <w:r>
              <w:rPr>
                <w:rFonts w:hint="eastAsia" w:ascii="宋体" w:hAnsi="宋体" w:cs="宋体"/>
                <w:bCs/>
                <w:sz w:val="21"/>
                <w:szCs w:val="21"/>
              </w:rPr>
              <w:t>负责人</w:t>
            </w:r>
            <w:r>
              <w:rPr>
                <w:rFonts w:hint="eastAsia" w:ascii="宋体" w:hAnsi="宋体" w:cs="宋体"/>
                <w:bCs/>
                <w:sz w:val="21"/>
                <w:szCs w:val="21"/>
                <w:lang w:eastAsia="zh-CN"/>
              </w:rPr>
              <w:t>介绍</w:t>
            </w:r>
            <w:r>
              <w:rPr>
                <w:rFonts w:hint="eastAsia" w:ascii="宋体" w:hAnsi="宋体" w:cs="宋体"/>
                <w:bCs/>
                <w:sz w:val="21"/>
                <w:szCs w:val="21"/>
              </w:rPr>
              <w:t>，如发生过程5</w:t>
            </w:r>
            <w:r>
              <w:rPr>
                <w:rFonts w:hint="eastAsia" w:ascii="宋体" w:hAnsi="宋体" w:cs="宋体"/>
                <w:bCs/>
                <w:sz w:val="21"/>
                <w:szCs w:val="21"/>
                <w:lang w:val="en-US" w:eastAsia="zh-CN"/>
              </w:rPr>
              <w:t>M1E</w:t>
            </w:r>
            <w:r>
              <w:rPr>
                <w:rFonts w:hint="eastAsia" w:ascii="宋体" w:hAnsi="宋体" w:cs="宋体"/>
                <w:bCs/>
                <w:sz w:val="21"/>
                <w:szCs w:val="21"/>
              </w:rPr>
              <w:t>变化，进行再确认。</w:t>
            </w:r>
          </w:p>
        </w:tc>
        <w:tc>
          <w:tcPr>
            <w:tcW w:w="915" w:type="dxa"/>
          </w:tcPr>
          <w:p>
            <w:pPr>
              <w:rPr>
                <w:rFonts w:asciiTheme="minorEastAsia" w:hAnsiTheme="minorEastAsia" w:eastAsiaTheme="minorEastAsia"/>
                <w:szCs w:val="21"/>
              </w:rPr>
            </w:pPr>
            <w:r>
              <w:rPr>
                <w:rFonts w:asciiTheme="minorEastAsia" w:hAnsiTheme="minorEastAsia" w:eastAsiaTheme="minorEastAsia"/>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1025" w:type="dxa"/>
            <w:vAlign w:val="center"/>
          </w:tcPr>
          <w:p>
            <w:pPr>
              <w:spacing w:line="280" w:lineRule="exact"/>
              <w:rPr>
                <w:rFonts w:hint="eastAsia" w:ascii="宋体" w:hAnsi="宋体" w:eastAsia="宋体" w:cs="宋体"/>
                <w:b/>
                <w:kern w:val="2"/>
                <w:sz w:val="21"/>
                <w:szCs w:val="21"/>
                <w:lang w:val="en-US" w:eastAsia="zh-CN" w:bidi="ar-SA"/>
              </w:rPr>
            </w:pPr>
            <w:r>
              <w:rPr>
                <w:rFonts w:hint="eastAsia" w:ascii="宋体" w:hAnsi="宋体" w:cs="宋体"/>
                <w:sz w:val="21"/>
                <w:szCs w:val="21"/>
              </w:rPr>
              <w:t>标识和可追溯性</w:t>
            </w:r>
          </w:p>
        </w:tc>
        <w:tc>
          <w:tcPr>
            <w:tcW w:w="1155" w:type="dxa"/>
            <w:vAlign w:val="center"/>
          </w:tcPr>
          <w:p>
            <w:pPr>
              <w:spacing w:line="280" w:lineRule="exact"/>
              <w:rPr>
                <w:rFonts w:hint="eastAsia" w:ascii="宋体" w:hAnsi="宋体" w:cs="宋体"/>
                <w:sz w:val="21"/>
                <w:szCs w:val="21"/>
              </w:rPr>
            </w:pPr>
            <w:r>
              <w:rPr>
                <w:rFonts w:hint="eastAsia" w:ascii="宋体" w:hAnsi="宋体" w:cs="宋体"/>
                <w:sz w:val="21"/>
                <w:szCs w:val="21"/>
              </w:rPr>
              <w:t>Q8.5.2</w:t>
            </w:r>
          </w:p>
          <w:p>
            <w:pPr>
              <w:spacing w:line="280" w:lineRule="exact"/>
              <w:rPr>
                <w:rFonts w:hint="eastAsia" w:ascii="宋体" w:hAnsi="宋体" w:eastAsia="宋体" w:cs="宋体"/>
                <w:b/>
                <w:kern w:val="2"/>
                <w:sz w:val="21"/>
                <w:szCs w:val="21"/>
                <w:lang w:val="en-US" w:eastAsia="zh-CN" w:bidi="ar-SA"/>
              </w:rPr>
            </w:pPr>
          </w:p>
        </w:tc>
        <w:tc>
          <w:tcPr>
            <w:tcW w:w="11200" w:type="dxa"/>
            <w:vAlign w:val="top"/>
          </w:tcPr>
          <w:p>
            <w:pPr>
              <w:spacing w:line="280" w:lineRule="exact"/>
              <w:ind w:firstLine="210" w:firstLineChars="100"/>
              <w:rPr>
                <w:rFonts w:hint="eastAsia" w:ascii="宋体" w:hAnsi="宋体" w:cs="宋体"/>
                <w:sz w:val="21"/>
                <w:szCs w:val="21"/>
              </w:rPr>
            </w:pPr>
            <w:r>
              <w:rPr>
                <w:rFonts w:hint="eastAsia" w:ascii="宋体" w:hAnsi="宋体" w:cs="宋体"/>
                <w:sz w:val="21"/>
                <w:szCs w:val="21"/>
              </w:rPr>
              <w:t>公司制定QB/SADL-GL03-2018《标识和可追溯性控制制度》，对原材料、生产过程标识和产品标识及可追溯性作出要求，经核查该文件，内容基本符合标准要求，与组织产品实际情况相适应，具有可操作性。</w:t>
            </w:r>
          </w:p>
          <w:p>
            <w:pPr>
              <w:spacing w:line="280" w:lineRule="exact"/>
              <w:ind w:firstLine="210" w:firstLineChars="100"/>
              <w:rPr>
                <w:rFonts w:hint="eastAsia" w:ascii="宋体" w:hAnsi="宋体" w:eastAsia="宋体" w:cs="宋体"/>
                <w:kern w:val="2"/>
                <w:sz w:val="21"/>
                <w:szCs w:val="21"/>
                <w:lang w:val="en-US" w:eastAsia="zh-CN" w:bidi="ar-SA"/>
              </w:rPr>
            </w:pPr>
            <w:r>
              <w:rPr>
                <w:rFonts w:hint="eastAsia" w:ascii="宋体" w:hAnsi="宋体" w:cs="宋体"/>
                <w:sz w:val="21"/>
                <w:szCs w:val="21"/>
              </w:rPr>
              <w:t>负责人刘文良</w:t>
            </w:r>
            <w:r>
              <w:rPr>
                <w:rFonts w:hint="eastAsia" w:ascii="宋体" w:hAnsi="宋体" w:cs="宋体"/>
                <w:sz w:val="21"/>
                <w:szCs w:val="21"/>
                <w:lang w:eastAsia="zh-CN"/>
              </w:rPr>
              <w:t>介绍</w:t>
            </w:r>
            <w:r>
              <w:rPr>
                <w:rFonts w:hint="eastAsia" w:ascii="宋体" w:hAnsi="宋体" w:cs="宋体"/>
                <w:sz w:val="21"/>
                <w:szCs w:val="21"/>
              </w:rPr>
              <w:t>，公司对原材料标识多采用标牌、标签、区域隔离、包装袋等形式，对交付的产品标识主要在包装上加以标识，生产车间负责产品标识和可追溯性工作。</w:t>
            </w:r>
          </w:p>
        </w:tc>
        <w:tc>
          <w:tcPr>
            <w:tcW w:w="915"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025" w:type="dxa"/>
            <w:vAlign w:val="center"/>
          </w:tcPr>
          <w:p>
            <w:pPr>
              <w:spacing w:line="280" w:lineRule="exact"/>
              <w:rPr>
                <w:rFonts w:hint="eastAsia" w:ascii="宋体" w:hAnsi="宋体" w:eastAsia="宋体" w:cs="宋体"/>
                <w:b/>
                <w:kern w:val="2"/>
                <w:sz w:val="21"/>
                <w:szCs w:val="21"/>
                <w:lang w:val="en-US" w:eastAsia="zh-CN" w:bidi="ar-SA"/>
              </w:rPr>
            </w:pPr>
            <w:r>
              <w:rPr>
                <w:rFonts w:hint="eastAsia" w:ascii="宋体" w:hAnsi="宋体" w:cs="宋体"/>
                <w:color w:val="000000"/>
                <w:sz w:val="21"/>
                <w:szCs w:val="21"/>
              </w:rPr>
              <w:t>顾客或外供方财产</w:t>
            </w:r>
          </w:p>
        </w:tc>
        <w:tc>
          <w:tcPr>
            <w:tcW w:w="1155" w:type="dxa"/>
            <w:vAlign w:val="center"/>
          </w:tcPr>
          <w:p>
            <w:pPr>
              <w:spacing w:line="280" w:lineRule="exact"/>
              <w:rPr>
                <w:rFonts w:hint="eastAsia" w:ascii="宋体" w:hAnsi="宋体" w:cs="宋体"/>
                <w:color w:val="000000"/>
                <w:sz w:val="21"/>
                <w:szCs w:val="21"/>
              </w:rPr>
            </w:pPr>
            <w:r>
              <w:rPr>
                <w:rFonts w:hint="eastAsia" w:ascii="宋体" w:hAnsi="宋体" w:cs="宋体"/>
                <w:color w:val="000000"/>
                <w:sz w:val="21"/>
                <w:szCs w:val="21"/>
              </w:rPr>
              <w:t>Q8.5.3</w:t>
            </w:r>
          </w:p>
          <w:p>
            <w:pPr>
              <w:spacing w:line="280" w:lineRule="exact"/>
              <w:rPr>
                <w:rFonts w:hint="eastAsia" w:ascii="宋体" w:hAnsi="宋体" w:eastAsia="宋体" w:cs="宋体"/>
                <w:b/>
                <w:kern w:val="2"/>
                <w:sz w:val="21"/>
                <w:szCs w:val="21"/>
                <w:lang w:val="en-US" w:eastAsia="zh-CN" w:bidi="ar-SA"/>
              </w:rPr>
            </w:pPr>
          </w:p>
        </w:tc>
        <w:tc>
          <w:tcPr>
            <w:tcW w:w="11200" w:type="dxa"/>
            <w:vAlign w:val="center"/>
          </w:tcPr>
          <w:p>
            <w:pPr>
              <w:spacing w:line="280" w:lineRule="exact"/>
              <w:ind w:firstLine="420" w:firstLineChars="200"/>
              <w:rPr>
                <w:rFonts w:hint="eastAsia" w:ascii="宋体" w:hAnsi="宋体" w:eastAsia="宋体" w:cs="宋体"/>
                <w:b/>
                <w:kern w:val="2"/>
                <w:sz w:val="21"/>
                <w:szCs w:val="21"/>
                <w:lang w:val="en-US" w:eastAsia="zh-CN" w:bidi="ar-SA"/>
              </w:rPr>
            </w:pPr>
            <w:r>
              <w:rPr>
                <w:rFonts w:hint="eastAsia" w:ascii="宋体" w:hAnsi="宋体" w:cs="宋体"/>
                <w:color w:val="000000"/>
                <w:sz w:val="21"/>
                <w:szCs w:val="21"/>
              </w:rPr>
              <w:t>公司编制了QB/SADL-GL09-2018《与顾客有关过程管理制度》QB/SADL-GL04-2018《顾客财产管理制度》顾客或外部供方的财产包括：资质证明文件（如营业执照和其它资质文件）、银行账号、联系方式、经营地址及档案资料等信息，由部门专门人员负责管理，分类登记放置。未发生损坏丢失等现象。</w:t>
            </w:r>
          </w:p>
        </w:tc>
        <w:tc>
          <w:tcPr>
            <w:tcW w:w="915"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025" w:type="dxa"/>
            <w:vAlign w:val="center"/>
          </w:tcPr>
          <w:p>
            <w:pPr>
              <w:spacing w:line="280" w:lineRule="exact"/>
              <w:rPr>
                <w:rFonts w:hint="eastAsia" w:ascii="宋体" w:hAnsi="宋体" w:cs="宋体"/>
                <w:sz w:val="21"/>
                <w:szCs w:val="21"/>
              </w:rPr>
            </w:pPr>
            <w:r>
              <w:rPr>
                <w:rFonts w:hint="eastAsia" w:ascii="宋体" w:hAnsi="宋体" w:cs="宋体"/>
                <w:sz w:val="21"/>
                <w:szCs w:val="21"/>
              </w:rPr>
              <w:t>防护</w:t>
            </w:r>
          </w:p>
          <w:p>
            <w:pPr>
              <w:spacing w:line="280" w:lineRule="exact"/>
              <w:rPr>
                <w:rFonts w:hint="eastAsia" w:ascii="宋体" w:hAnsi="宋体" w:eastAsia="宋体" w:cs="宋体"/>
                <w:b/>
                <w:kern w:val="2"/>
                <w:sz w:val="21"/>
                <w:szCs w:val="21"/>
                <w:lang w:val="en-US" w:eastAsia="zh-CN" w:bidi="ar-SA"/>
              </w:rPr>
            </w:pPr>
          </w:p>
        </w:tc>
        <w:tc>
          <w:tcPr>
            <w:tcW w:w="1155" w:type="dxa"/>
            <w:vAlign w:val="center"/>
          </w:tcPr>
          <w:p>
            <w:pPr>
              <w:spacing w:line="280" w:lineRule="exact"/>
              <w:rPr>
                <w:rFonts w:hint="eastAsia" w:ascii="宋体" w:hAnsi="宋体" w:cs="宋体"/>
                <w:color w:val="000000"/>
                <w:sz w:val="21"/>
                <w:szCs w:val="21"/>
              </w:rPr>
            </w:pPr>
            <w:r>
              <w:rPr>
                <w:rFonts w:hint="eastAsia" w:ascii="宋体" w:hAnsi="宋体" w:cs="宋体"/>
                <w:color w:val="000000"/>
                <w:sz w:val="21"/>
                <w:szCs w:val="21"/>
              </w:rPr>
              <w:t>Q8.5.4</w:t>
            </w:r>
          </w:p>
          <w:p>
            <w:pPr>
              <w:spacing w:line="280" w:lineRule="exact"/>
              <w:rPr>
                <w:rFonts w:hint="eastAsia" w:ascii="宋体" w:hAnsi="宋体" w:eastAsia="宋体" w:cs="宋体"/>
                <w:b/>
                <w:kern w:val="2"/>
                <w:sz w:val="21"/>
                <w:szCs w:val="21"/>
                <w:lang w:val="en-US" w:eastAsia="zh-CN" w:bidi="ar-SA"/>
              </w:rPr>
            </w:pPr>
          </w:p>
        </w:tc>
        <w:tc>
          <w:tcPr>
            <w:tcW w:w="11200" w:type="dxa"/>
            <w:vAlign w:val="center"/>
          </w:tcPr>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负责人刘文良：公司《管理手册》对产品防护及搬运、贮存等作出了规定。生产车间按规定执行。</w:t>
            </w:r>
          </w:p>
          <w:p>
            <w:pPr>
              <w:spacing w:line="280" w:lineRule="exact"/>
              <w:rPr>
                <w:rFonts w:hint="eastAsia" w:ascii="宋体" w:hAnsi="宋体" w:eastAsia="宋体" w:cs="宋体"/>
                <w:b/>
                <w:kern w:val="2"/>
                <w:sz w:val="21"/>
                <w:szCs w:val="21"/>
                <w:lang w:val="en-US" w:eastAsia="zh-CN" w:bidi="ar-SA"/>
              </w:rPr>
            </w:pPr>
            <w:r>
              <w:rPr>
                <w:rFonts w:hint="eastAsia" w:ascii="宋体" w:hAnsi="宋体" w:cs="宋体"/>
                <w:color w:val="000000"/>
                <w:sz w:val="21"/>
                <w:szCs w:val="21"/>
              </w:rPr>
              <w:t>通过生产现场查看，公司员工在产品的原材料和成品的装卸、搬运，采取了必要的防护措施符合要求。生产场地和原材料仓库、成品仓库能够满足要求。</w:t>
            </w:r>
          </w:p>
        </w:tc>
        <w:tc>
          <w:tcPr>
            <w:tcW w:w="915"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025" w:type="dxa"/>
            <w:vAlign w:val="center"/>
          </w:tcPr>
          <w:p>
            <w:pPr>
              <w:spacing w:line="280" w:lineRule="exact"/>
              <w:rPr>
                <w:rFonts w:hint="eastAsia" w:ascii="宋体" w:hAnsi="宋体" w:eastAsia="宋体" w:cs="宋体"/>
                <w:b/>
                <w:kern w:val="2"/>
                <w:sz w:val="21"/>
                <w:szCs w:val="21"/>
                <w:lang w:val="en-US" w:eastAsia="zh-CN" w:bidi="ar-SA"/>
              </w:rPr>
            </w:pPr>
            <w:r>
              <w:rPr>
                <w:rFonts w:hint="eastAsia" w:ascii="宋体" w:hAnsi="宋体" w:cs="宋体"/>
                <w:color w:val="000000"/>
                <w:sz w:val="21"/>
                <w:szCs w:val="21"/>
              </w:rPr>
              <w:t>交付后活动</w:t>
            </w:r>
          </w:p>
        </w:tc>
        <w:tc>
          <w:tcPr>
            <w:tcW w:w="1155" w:type="dxa"/>
            <w:vAlign w:val="center"/>
          </w:tcPr>
          <w:p>
            <w:pPr>
              <w:spacing w:line="280" w:lineRule="exact"/>
              <w:rPr>
                <w:rFonts w:hint="eastAsia" w:ascii="宋体" w:hAnsi="宋体" w:eastAsia="宋体" w:cs="宋体"/>
                <w:b/>
                <w:kern w:val="2"/>
                <w:sz w:val="21"/>
                <w:szCs w:val="21"/>
                <w:lang w:val="en-US" w:eastAsia="zh-CN" w:bidi="ar-SA"/>
              </w:rPr>
            </w:pPr>
            <w:r>
              <w:rPr>
                <w:rFonts w:hint="eastAsia" w:ascii="宋体" w:hAnsi="宋体" w:cs="宋体"/>
                <w:color w:val="000000"/>
                <w:sz w:val="21"/>
                <w:szCs w:val="21"/>
              </w:rPr>
              <w:t>Q8.5.5</w:t>
            </w:r>
          </w:p>
        </w:tc>
        <w:tc>
          <w:tcPr>
            <w:tcW w:w="11200" w:type="dxa"/>
            <w:vAlign w:val="center"/>
          </w:tcPr>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刘部长：交付后活动包括：在产品名称、适用说明及外包装中对产品的保质期、性质、用途、联系方式等进行了规定并明示。公司定期对顾客进行走访和采取顾客满意度调查的方式来获取顾客的反馈，顾客对价格及发货速度进行了反馈，营销人员进行了耐心的沟通，客户基本理解。交付时的成品保护情况符合要求。如有不满意我们将严格按照公司要求执行。</w:t>
            </w:r>
          </w:p>
          <w:p>
            <w:pPr>
              <w:spacing w:line="280" w:lineRule="exact"/>
              <w:rPr>
                <w:rFonts w:hint="eastAsia" w:ascii="宋体" w:hAnsi="宋体" w:eastAsia="宋体" w:cs="宋体"/>
                <w:b/>
                <w:kern w:val="2"/>
                <w:sz w:val="21"/>
                <w:szCs w:val="21"/>
                <w:lang w:val="en-US" w:eastAsia="zh-CN" w:bidi="ar-SA"/>
              </w:rPr>
            </w:pPr>
            <w:r>
              <w:rPr>
                <w:rFonts w:hint="eastAsia" w:ascii="宋体" w:hAnsi="宋体" w:cs="宋体"/>
                <w:color w:val="000000"/>
                <w:sz w:val="21"/>
                <w:szCs w:val="21"/>
              </w:rPr>
              <w:t>如远程无法解决，派专人到客户现场实地解决。</w:t>
            </w:r>
          </w:p>
        </w:tc>
        <w:tc>
          <w:tcPr>
            <w:tcW w:w="915"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1025" w:type="dxa"/>
            <w:vAlign w:val="center"/>
          </w:tcPr>
          <w:p>
            <w:pPr>
              <w:spacing w:line="280" w:lineRule="exact"/>
              <w:rPr>
                <w:rFonts w:hint="eastAsia" w:ascii="宋体" w:hAnsi="宋体" w:eastAsia="宋体" w:cs="宋体"/>
                <w:b/>
                <w:kern w:val="2"/>
                <w:sz w:val="21"/>
                <w:szCs w:val="21"/>
                <w:lang w:val="en-US" w:eastAsia="zh-CN" w:bidi="ar-SA"/>
              </w:rPr>
            </w:pPr>
            <w:r>
              <w:rPr>
                <w:rFonts w:hint="eastAsia" w:ascii="宋体" w:hAnsi="宋体" w:cs="宋体"/>
                <w:sz w:val="21"/>
                <w:szCs w:val="21"/>
              </w:rPr>
              <w:t>更改控制</w:t>
            </w:r>
          </w:p>
        </w:tc>
        <w:tc>
          <w:tcPr>
            <w:tcW w:w="1155" w:type="dxa"/>
            <w:vAlign w:val="center"/>
          </w:tcPr>
          <w:p>
            <w:pPr>
              <w:spacing w:line="280" w:lineRule="exact"/>
              <w:rPr>
                <w:rFonts w:hint="eastAsia" w:ascii="宋体" w:hAnsi="宋体" w:eastAsia="宋体" w:cs="宋体"/>
                <w:b/>
                <w:kern w:val="2"/>
                <w:sz w:val="21"/>
                <w:szCs w:val="21"/>
                <w:lang w:val="en-US" w:eastAsia="zh-CN" w:bidi="ar-SA"/>
              </w:rPr>
            </w:pPr>
            <w:r>
              <w:rPr>
                <w:rFonts w:hint="eastAsia" w:ascii="宋体" w:hAnsi="宋体" w:cs="宋体"/>
                <w:color w:val="000000"/>
                <w:sz w:val="21"/>
                <w:szCs w:val="21"/>
              </w:rPr>
              <w:t>Q8.5.6</w:t>
            </w:r>
          </w:p>
        </w:tc>
        <w:tc>
          <w:tcPr>
            <w:tcW w:w="11200" w:type="dxa"/>
            <w:vAlign w:val="top"/>
          </w:tcPr>
          <w:p>
            <w:pPr>
              <w:spacing w:line="280" w:lineRule="exact"/>
              <w:ind w:firstLine="210" w:firstLineChars="100"/>
              <w:rPr>
                <w:rFonts w:hint="eastAsia" w:ascii="宋体" w:hAnsi="宋体" w:eastAsia="宋体" w:cs="宋体"/>
                <w:b/>
                <w:kern w:val="2"/>
                <w:sz w:val="21"/>
                <w:szCs w:val="21"/>
                <w:lang w:val="en-US" w:eastAsia="zh-CN" w:bidi="ar-SA"/>
              </w:rPr>
            </w:pPr>
            <w:r>
              <w:rPr>
                <w:rFonts w:hint="eastAsia" w:ascii="宋体" w:hAnsi="宋体" w:cs="宋体"/>
                <w:color w:val="000000"/>
                <w:sz w:val="21"/>
                <w:szCs w:val="21"/>
              </w:rPr>
              <w:t>刘部长</w:t>
            </w:r>
            <w:r>
              <w:rPr>
                <w:rFonts w:hint="eastAsia" w:ascii="宋体" w:hAnsi="宋体" w:cs="宋体"/>
                <w:color w:val="000000"/>
                <w:sz w:val="21"/>
                <w:szCs w:val="21"/>
                <w:lang w:eastAsia="zh-CN"/>
              </w:rPr>
              <w:t>介绍</w:t>
            </w:r>
            <w:r>
              <w:rPr>
                <w:rFonts w:hint="eastAsia" w:ascii="宋体" w:hAnsi="宋体" w:cs="宋体"/>
                <w:color w:val="000000"/>
                <w:sz w:val="21"/>
                <w:szCs w:val="21"/>
              </w:rPr>
              <w:t>，生产前，我们销售代表再次与顾客确认产品相关信息，如果顾客提出更改，确认更改内容，并通知生产车间，重新下图。经了解，一年来未见有过程更改。</w:t>
            </w:r>
          </w:p>
        </w:tc>
        <w:tc>
          <w:tcPr>
            <w:tcW w:w="915"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0" w:type="auto"/>
            <w:vAlign w:val="center"/>
          </w:tcPr>
          <w:p>
            <w:pPr>
              <w:spacing w:line="280" w:lineRule="exact"/>
              <w:rPr>
                <w:rFonts w:hint="eastAsia" w:ascii="宋体" w:hAnsi="宋体" w:cs="宋体"/>
                <w:sz w:val="21"/>
                <w:szCs w:val="21"/>
              </w:rPr>
            </w:pPr>
            <w:r>
              <w:rPr>
                <w:rFonts w:hint="eastAsia" w:ascii="宋体" w:hAnsi="宋体" w:cs="宋体"/>
                <w:sz w:val="21"/>
                <w:szCs w:val="21"/>
              </w:rPr>
              <w:t>产品和服务的放行</w:t>
            </w:r>
          </w:p>
          <w:p>
            <w:pPr>
              <w:spacing w:line="280" w:lineRule="exact"/>
              <w:rPr>
                <w:rFonts w:hint="eastAsia" w:ascii="宋体" w:hAnsi="宋体" w:eastAsia="宋体" w:cs="宋体"/>
                <w:kern w:val="2"/>
                <w:sz w:val="21"/>
                <w:szCs w:val="21"/>
                <w:lang w:val="en-US" w:eastAsia="zh-CN" w:bidi="ar-SA"/>
              </w:rPr>
            </w:pPr>
          </w:p>
        </w:tc>
        <w:tc>
          <w:tcPr>
            <w:tcW w:w="0" w:type="auto"/>
            <w:vAlign w:val="center"/>
          </w:tcPr>
          <w:p>
            <w:pPr>
              <w:spacing w:line="280" w:lineRule="exact"/>
              <w:rPr>
                <w:rFonts w:hint="eastAsia" w:ascii="宋体" w:hAnsi="宋体" w:cs="宋体"/>
                <w:sz w:val="21"/>
                <w:szCs w:val="21"/>
              </w:rPr>
            </w:pPr>
            <w:r>
              <w:rPr>
                <w:rFonts w:hint="eastAsia" w:ascii="宋体" w:hAnsi="宋体" w:cs="宋体"/>
                <w:sz w:val="21"/>
                <w:szCs w:val="21"/>
              </w:rPr>
              <w:t>Q8.6</w:t>
            </w:r>
          </w:p>
          <w:p>
            <w:pPr>
              <w:spacing w:line="280" w:lineRule="exact"/>
              <w:rPr>
                <w:rFonts w:hint="eastAsia" w:ascii="宋体" w:hAnsi="宋体" w:eastAsia="宋体" w:cs="宋体"/>
                <w:color w:val="000000"/>
                <w:kern w:val="2"/>
                <w:sz w:val="21"/>
                <w:szCs w:val="21"/>
                <w:lang w:val="en-US" w:eastAsia="zh-CN" w:bidi="ar-SA"/>
              </w:rPr>
            </w:pPr>
          </w:p>
        </w:tc>
        <w:tc>
          <w:tcPr>
            <w:tcW w:w="0" w:type="auto"/>
            <w:vAlign w:val="top"/>
          </w:tcPr>
          <w:p>
            <w:pPr>
              <w:spacing w:line="280" w:lineRule="exact"/>
              <w:ind w:firstLine="420" w:firstLineChars="200"/>
              <w:rPr>
                <w:rFonts w:hint="eastAsia" w:ascii="宋体" w:hAnsi="宋体" w:cs="宋体"/>
                <w:sz w:val="21"/>
                <w:szCs w:val="21"/>
              </w:rPr>
            </w:pPr>
            <w:r>
              <w:rPr>
                <w:rFonts w:hint="eastAsia" w:ascii="宋体" w:hAnsi="宋体" w:cs="宋体"/>
                <w:sz w:val="21"/>
                <w:szCs w:val="21"/>
              </w:rPr>
              <w:t>刘部长</w:t>
            </w:r>
            <w:r>
              <w:rPr>
                <w:rFonts w:hint="eastAsia" w:ascii="宋体" w:hAnsi="宋体" w:cs="宋体"/>
                <w:sz w:val="21"/>
                <w:szCs w:val="21"/>
                <w:lang w:eastAsia="zh-CN"/>
              </w:rPr>
              <w:t>介绍</w:t>
            </w:r>
            <w:r>
              <w:rPr>
                <w:rFonts w:hint="eastAsia" w:ascii="宋体" w:hAnsi="宋体" w:cs="宋体"/>
                <w:sz w:val="21"/>
                <w:szCs w:val="21"/>
              </w:rPr>
              <w:t>：公司制定有：《建筑材料、构配件和设备采购管理制度》《工程质量检查管理制度》，对采购产品、半成品、成品检验和检验记录等做出了明确规定。以及公司制定了原材料、半成品和成品检验规程，按上述文件实施进货、过程和最终（成品）检验，并保持记录。</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见证：原材料、半成品和成品检验规程，包括：原材料、过程和最终产品的检验部位、检验方式、检验方法、执行标准等，以上检验文件，由生产部制定并执行。</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见证：主管人员介绍，物资进厂后由综合部门向生产部进行报验，由生产部进行入厂检验。</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查到《进货检验记录》，包括：断路器、接触器、壳体、铜排、绝缘导线、绝缘件、接插件、漏电断路器、复合开关、隔离开关、刀熔开关、壳体等。</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 xml:space="preserve">抽查记录如下： </w:t>
            </w:r>
          </w:p>
          <w:p>
            <w:pPr>
              <w:spacing w:line="280" w:lineRule="exact"/>
              <w:rPr>
                <w:rFonts w:hint="eastAsia" w:ascii="宋体" w:hAnsi="宋体" w:cs="宋体"/>
                <w:sz w:val="21"/>
                <w:szCs w:val="21"/>
              </w:rPr>
            </w:pPr>
            <w:r>
              <w:rPr>
                <w:rFonts w:hint="eastAsia" w:ascii="宋体" w:hAnsi="宋体" w:cs="宋体"/>
                <w:sz w:val="21"/>
                <w:szCs w:val="21"/>
              </w:rPr>
              <w:t>供货厂家  产品名称  规格型号  入库数量 制表人</w:t>
            </w:r>
          </w:p>
          <w:p>
            <w:pPr>
              <w:spacing w:line="280" w:lineRule="exact"/>
              <w:rPr>
                <w:rFonts w:hint="eastAsia" w:ascii="宋体" w:hAnsi="宋体" w:cs="宋体"/>
                <w:sz w:val="21"/>
                <w:szCs w:val="21"/>
                <w:lang w:val="en-US" w:eastAsia="zh-CN"/>
              </w:rPr>
            </w:pPr>
            <w:r>
              <w:rPr>
                <w:rFonts w:hint="eastAsia" w:ascii="宋体" w:hAnsi="宋体" w:cs="宋体"/>
                <w:sz w:val="21"/>
                <w:szCs w:val="21"/>
                <w:lang w:val="en-US" w:eastAsia="zh-CN"/>
              </w:rPr>
              <w:t>人民电器集团</w:t>
            </w:r>
            <w:r>
              <w:rPr>
                <w:rFonts w:hint="eastAsia" w:ascii="宋体" w:hAnsi="宋体" w:cs="宋体"/>
                <w:sz w:val="21"/>
                <w:szCs w:val="21"/>
              </w:rPr>
              <w:t xml:space="preserve">有限公司  </w:t>
            </w:r>
            <w:r>
              <w:rPr>
                <w:rFonts w:hint="eastAsia" w:ascii="宋体" w:hAnsi="宋体" w:cs="宋体"/>
                <w:sz w:val="21"/>
                <w:szCs w:val="21"/>
                <w:lang w:val="en-US" w:eastAsia="zh-CN"/>
              </w:rPr>
              <w:t>刀熔开关</w:t>
            </w:r>
            <w:r>
              <w:rPr>
                <w:rFonts w:hint="eastAsia" w:ascii="宋体" w:hAnsi="宋体" w:cs="宋体"/>
                <w:sz w:val="21"/>
                <w:szCs w:val="21"/>
              </w:rPr>
              <w:t xml:space="preserve"> </w:t>
            </w:r>
            <w:r>
              <w:rPr>
                <w:rFonts w:hint="eastAsia" w:ascii="宋体" w:hAnsi="宋体" w:cs="宋体"/>
                <w:sz w:val="21"/>
                <w:szCs w:val="21"/>
                <w:lang w:val="en-US" w:eastAsia="zh-CN"/>
              </w:rPr>
              <w:t>HH15（QSA）-630  630A</w:t>
            </w:r>
            <w:r>
              <w:rPr>
                <w:rFonts w:hint="eastAsia" w:ascii="宋体" w:hAnsi="宋体" w:cs="宋体"/>
                <w:sz w:val="21"/>
                <w:szCs w:val="21"/>
              </w:rPr>
              <w:t xml:space="preserve">  数量1个 个</w:t>
            </w:r>
            <w:r>
              <w:rPr>
                <w:rFonts w:hint="eastAsia" w:ascii="宋体" w:hAnsi="宋体" w:cs="宋体"/>
                <w:sz w:val="21"/>
                <w:szCs w:val="21"/>
                <w:lang w:val="en-US" w:eastAsia="zh-CN"/>
              </w:rPr>
              <w:t>抽检数量1个</w:t>
            </w:r>
            <w:r>
              <w:rPr>
                <w:rFonts w:hint="eastAsia" w:ascii="宋体" w:hAnsi="宋体" w:cs="宋体"/>
                <w:sz w:val="21"/>
                <w:szCs w:val="21"/>
              </w:rPr>
              <w:t xml:space="preserve"> </w:t>
            </w:r>
            <w:r>
              <w:rPr>
                <w:rFonts w:hint="eastAsia" w:ascii="宋体" w:hAnsi="宋体" w:cs="宋体"/>
                <w:sz w:val="21"/>
                <w:szCs w:val="21"/>
                <w:lang w:val="en-US" w:eastAsia="zh-CN"/>
              </w:rPr>
              <w:t xml:space="preserve">崔浩东 </w:t>
            </w:r>
            <w:r>
              <w:rPr>
                <w:rFonts w:hint="eastAsia" w:ascii="宋体" w:hAnsi="宋体" w:cs="宋体"/>
                <w:sz w:val="21"/>
                <w:szCs w:val="21"/>
              </w:rPr>
              <w:t xml:space="preserve">  日期 20</w:t>
            </w:r>
            <w:r>
              <w:rPr>
                <w:rFonts w:hint="eastAsia" w:ascii="宋体" w:hAnsi="宋体" w:cs="宋体"/>
                <w:sz w:val="21"/>
                <w:szCs w:val="21"/>
                <w:lang w:val="en-US" w:eastAsia="zh-CN"/>
              </w:rPr>
              <w:t>19年12月16日</w:t>
            </w:r>
          </w:p>
          <w:p>
            <w:pPr>
              <w:spacing w:line="280" w:lineRule="exact"/>
              <w:rPr>
                <w:rFonts w:hint="default" w:ascii="宋体" w:hAnsi="宋体" w:eastAsia="宋体" w:cs="宋体"/>
                <w:sz w:val="21"/>
                <w:szCs w:val="21"/>
                <w:lang w:val="en-US" w:eastAsia="zh-CN"/>
              </w:rPr>
            </w:pPr>
            <w:r>
              <w:rPr>
                <w:rFonts w:hint="eastAsia" w:ascii="宋体" w:hAnsi="宋体" w:cs="宋体"/>
                <w:sz w:val="21"/>
                <w:szCs w:val="21"/>
                <w:lang w:val="en-US" w:eastAsia="zh-CN"/>
              </w:rPr>
              <w:t>浙江茗熔电器保护系统</w:t>
            </w:r>
            <w:r>
              <w:rPr>
                <w:rFonts w:hint="eastAsia" w:ascii="宋体" w:hAnsi="宋体" w:cs="宋体"/>
                <w:sz w:val="21"/>
                <w:szCs w:val="21"/>
              </w:rPr>
              <w:t xml:space="preserve">有限公司  </w:t>
            </w:r>
            <w:r>
              <w:rPr>
                <w:rFonts w:hint="eastAsia" w:ascii="宋体" w:hAnsi="宋体" w:cs="宋体"/>
                <w:sz w:val="21"/>
                <w:szCs w:val="21"/>
                <w:lang w:val="en-US" w:eastAsia="zh-CN"/>
              </w:rPr>
              <w:t>熔芯</w:t>
            </w:r>
            <w:r>
              <w:rPr>
                <w:rFonts w:hint="eastAsia" w:ascii="宋体" w:hAnsi="宋体" w:cs="宋体"/>
                <w:sz w:val="21"/>
                <w:szCs w:val="21"/>
              </w:rPr>
              <w:t xml:space="preserve"> </w:t>
            </w:r>
            <w:r>
              <w:rPr>
                <w:rFonts w:hint="eastAsia" w:ascii="宋体" w:hAnsi="宋体" w:cs="宋体"/>
                <w:sz w:val="21"/>
                <w:szCs w:val="21"/>
                <w:lang w:val="en-US" w:eastAsia="zh-CN"/>
              </w:rPr>
              <w:t>RT16-00  160A</w:t>
            </w:r>
            <w:r>
              <w:rPr>
                <w:rFonts w:hint="eastAsia" w:ascii="宋体" w:hAnsi="宋体" w:cs="宋体"/>
                <w:sz w:val="21"/>
                <w:szCs w:val="21"/>
              </w:rPr>
              <w:t xml:space="preserve">  数量</w:t>
            </w:r>
            <w:r>
              <w:rPr>
                <w:rFonts w:hint="eastAsia" w:ascii="宋体" w:hAnsi="宋体" w:cs="宋体"/>
                <w:sz w:val="21"/>
                <w:szCs w:val="21"/>
                <w:lang w:val="en-US" w:eastAsia="zh-CN"/>
              </w:rPr>
              <w:t>27</w:t>
            </w:r>
            <w:r>
              <w:rPr>
                <w:rFonts w:hint="eastAsia" w:ascii="宋体" w:hAnsi="宋体" w:cs="宋体"/>
                <w:sz w:val="21"/>
                <w:szCs w:val="21"/>
              </w:rPr>
              <w:t>个</w:t>
            </w:r>
            <w:r>
              <w:rPr>
                <w:rFonts w:hint="eastAsia" w:ascii="宋体" w:hAnsi="宋体" w:cs="宋体"/>
                <w:sz w:val="21"/>
                <w:szCs w:val="21"/>
                <w:lang w:val="en-US" w:eastAsia="zh-CN"/>
              </w:rPr>
              <w:t>抽检数量10个</w:t>
            </w:r>
            <w:r>
              <w:rPr>
                <w:rFonts w:hint="eastAsia" w:ascii="宋体" w:hAnsi="宋体" w:cs="宋体"/>
                <w:sz w:val="21"/>
                <w:szCs w:val="21"/>
              </w:rPr>
              <w:t xml:space="preserve">  </w:t>
            </w:r>
            <w:r>
              <w:rPr>
                <w:rFonts w:hint="eastAsia" w:ascii="宋体" w:hAnsi="宋体" w:cs="宋体"/>
                <w:sz w:val="21"/>
                <w:szCs w:val="21"/>
                <w:lang w:val="en-US" w:eastAsia="zh-CN"/>
              </w:rPr>
              <w:t xml:space="preserve">崔浩东 </w:t>
            </w:r>
            <w:r>
              <w:rPr>
                <w:rFonts w:hint="eastAsia" w:ascii="宋体" w:hAnsi="宋体" w:cs="宋体"/>
                <w:sz w:val="21"/>
                <w:szCs w:val="21"/>
              </w:rPr>
              <w:t xml:space="preserve">  日期 20</w:t>
            </w:r>
            <w:r>
              <w:rPr>
                <w:rFonts w:hint="eastAsia" w:ascii="宋体" w:hAnsi="宋体" w:cs="宋体"/>
                <w:sz w:val="21"/>
                <w:szCs w:val="21"/>
                <w:lang w:val="en-US" w:eastAsia="zh-CN"/>
              </w:rPr>
              <w:t>19年12月16日</w:t>
            </w:r>
          </w:p>
          <w:p>
            <w:pPr>
              <w:spacing w:line="280" w:lineRule="exact"/>
              <w:rPr>
                <w:rFonts w:hint="default" w:ascii="宋体" w:hAnsi="宋体" w:eastAsia="宋体" w:cs="宋体"/>
                <w:sz w:val="21"/>
                <w:szCs w:val="21"/>
                <w:lang w:val="en-US" w:eastAsia="zh-CN"/>
              </w:rPr>
            </w:pPr>
            <w:r>
              <w:rPr>
                <w:rFonts w:hint="eastAsia" w:ascii="宋体" w:hAnsi="宋体" w:cs="宋体"/>
                <w:sz w:val="21"/>
                <w:szCs w:val="21"/>
                <w:lang w:val="en-US" w:eastAsia="zh-CN"/>
              </w:rPr>
              <w:t xml:space="preserve">深圳市天和基业科技有限公司  复合开关 KSIS-70   50Kvar </w:t>
            </w:r>
            <w:r>
              <w:rPr>
                <w:rFonts w:hint="eastAsia" w:ascii="宋体" w:hAnsi="宋体" w:cs="宋体"/>
                <w:sz w:val="21"/>
                <w:szCs w:val="21"/>
              </w:rPr>
              <w:t>数量</w:t>
            </w:r>
            <w:r>
              <w:rPr>
                <w:rFonts w:hint="eastAsia" w:ascii="宋体" w:hAnsi="宋体" w:cs="宋体"/>
                <w:sz w:val="21"/>
                <w:szCs w:val="21"/>
                <w:lang w:val="en-US" w:eastAsia="zh-CN"/>
              </w:rPr>
              <w:t>8</w:t>
            </w:r>
            <w:r>
              <w:rPr>
                <w:rFonts w:hint="eastAsia" w:ascii="宋体" w:hAnsi="宋体" w:cs="宋体"/>
                <w:sz w:val="21"/>
                <w:szCs w:val="21"/>
              </w:rPr>
              <w:t>个</w:t>
            </w:r>
            <w:r>
              <w:rPr>
                <w:rFonts w:hint="eastAsia" w:ascii="宋体" w:hAnsi="宋体" w:cs="宋体"/>
                <w:sz w:val="21"/>
                <w:szCs w:val="21"/>
                <w:lang w:val="en-US" w:eastAsia="zh-CN"/>
              </w:rPr>
              <w:t>抽检数量8个崔浩东</w:t>
            </w:r>
            <w:r>
              <w:rPr>
                <w:rFonts w:hint="eastAsia" w:ascii="宋体" w:hAnsi="宋体" w:cs="宋体"/>
                <w:sz w:val="21"/>
                <w:szCs w:val="21"/>
              </w:rPr>
              <w:t xml:space="preserve"> 日期 20</w:t>
            </w:r>
            <w:r>
              <w:rPr>
                <w:rFonts w:hint="eastAsia" w:ascii="宋体" w:hAnsi="宋体" w:cs="宋体"/>
                <w:sz w:val="21"/>
                <w:szCs w:val="21"/>
                <w:lang w:val="en-US" w:eastAsia="zh-CN"/>
              </w:rPr>
              <w:t>19年12月16日</w:t>
            </w:r>
          </w:p>
          <w:p>
            <w:pPr>
              <w:spacing w:line="280" w:lineRule="exact"/>
              <w:rPr>
                <w:rFonts w:hint="eastAsia" w:ascii="宋体" w:hAnsi="宋体" w:cs="宋体"/>
                <w:sz w:val="21"/>
                <w:szCs w:val="21"/>
              </w:rPr>
            </w:pPr>
            <w:r>
              <w:rPr>
                <w:rFonts w:hint="eastAsia" w:ascii="宋体" w:hAnsi="宋体" w:cs="宋体"/>
                <w:sz w:val="21"/>
                <w:szCs w:val="21"/>
                <w:lang w:val="en-US" w:eastAsia="zh-CN"/>
              </w:rPr>
              <w:t xml:space="preserve">深圳市天和基业科技有限公司  KSIF-45   15Kvar  </w:t>
            </w:r>
            <w:r>
              <w:rPr>
                <w:rFonts w:hint="eastAsia" w:ascii="宋体" w:hAnsi="宋体" w:cs="宋体"/>
                <w:sz w:val="21"/>
                <w:szCs w:val="21"/>
              </w:rPr>
              <w:t xml:space="preserve"> 数量1个 个</w:t>
            </w:r>
            <w:r>
              <w:rPr>
                <w:rFonts w:hint="eastAsia" w:ascii="宋体" w:hAnsi="宋体" w:cs="宋体"/>
                <w:sz w:val="21"/>
                <w:szCs w:val="21"/>
                <w:lang w:val="en-US" w:eastAsia="zh-CN"/>
              </w:rPr>
              <w:t>抽检数量1个</w:t>
            </w:r>
            <w:r>
              <w:rPr>
                <w:rFonts w:hint="eastAsia" w:ascii="宋体" w:hAnsi="宋体" w:cs="宋体"/>
                <w:sz w:val="21"/>
                <w:szCs w:val="21"/>
              </w:rPr>
              <w:t xml:space="preserve"> </w:t>
            </w:r>
            <w:r>
              <w:rPr>
                <w:rFonts w:hint="eastAsia" w:ascii="宋体" w:hAnsi="宋体" w:cs="宋体"/>
                <w:sz w:val="21"/>
                <w:szCs w:val="21"/>
                <w:lang w:val="en-US" w:eastAsia="zh-CN"/>
              </w:rPr>
              <w:t xml:space="preserve">崔浩东 </w:t>
            </w:r>
            <w:r>
              <w:rPr>
                <w:rFonts w:hint="eastAsia" w:ascii="宋体" w:hAnsi="宋体" w:cs="宋体"/>
                <w:sz w:val="21"/>
                <w:szCs w:val="21"/>
              </w:rPr>
              <w:t xml:space="preserve">  日期 20</w:t>
            </w:r>
            <w:r>
              <w:rPr>
                <w:rFonts w:hint="eastAsia" w:ascii="宋体" w:hAnsi="宋体" w:cs="宋体"/>
                <w:sz w:val="21"/>
                <w:szCs w:val="21"/>
                <w:lang w:val="en-US" w:eastAsia="zh-CN"/>
              </w:rPr>
              <w:t>19年12月16日</w:t>
            </w:r>
          </w:p>
          <w:p>
            <w:pPr>
              <w:spacing w:line="280" w:lineRule="exact"/>
              <w:rPr>
                <w:rFonts w:hint="eastAsia" w:ascii="宋体" w:hAnsi="宋体" w:cs="宋体"/>
                <w:sz w:val="21"/>
                <w:szCs w:val="21"/>
                <w:lang w:val="en-US" w:eastAsia="zh-CN"/>
              </w:rPr>
            </w:pPr>
            <w:r>
              <w:rPr>
                <w:rFonts w:hint="eastAsia" w:ascii="宋体" w:hAnsi="宋体" w:cs="宋体"/>
                <w:sz w:val="21"/>
                <w:szCs w:val="21"/>
              </w:rPr>
              <w:t>天津</w:t>
            </w:r>
            <w:r>
              <w:rPr>
                <w:rFonts w:hint="eastAsia" w:ascii="宋体" w:hAnsi="宋体" w:cs="宋体"/>
                <w:sz w:val="21"/>
                <w:szCs w:val="21"/>
                <w:lang w:val="en-US" w:eastAsia="zh-CN"/>
              </w:rPr>
              <w:t>威斯康电能补偿系统</w:t>
            </w:r>
            <w:r>
              <w:rPr>
                <w:rFonts w:hint="eastAsia" w:ascii="宋体" w:hAnsi="宋体" w:cs="宋体"/>
                <w:sz w:val="21"/>
                <w:szCs w:val="21"/>
              </w:rPr>
              <w:t xml:space="preserve">有限公司 </w:t>
            </w:r>
            <w:r>
              <w:rPr>
                <w:rFonts w:hint="eastAsia" w:ascii="宋体" w:hAnsi="宋体" w:cs="宋体"/>
                <w:sz w:val="21"/>
                <w:szCs w:val="21"/>
                <w:lang w:val="en-US" w:eastAsia="zh-CN"/>
              </w:rPr>
              <w:t>电容器</w:t>
            </w:r>
            <w:r>
              <w:rPr>
                <w:rFonts w:hint="eastAsia" w:ascii="宋体" w:hAnsi="宋体" w:cs="宋体"/>
                <w:sz w:val="21"/>
                <w:szCs w:val="21"/>
              </w:rPr>
              <w:t xml:space="preserve"> </w:t>
            </w:r>
            <w:r>
              <w:rPr>
                <w:rFonts w:hint="eastAsia" w:ascii="宋体" w:hAnsi="宋体" w:cs="宋体"/>
                <w:sz w:val="21"/>
                <w:szCs w:val="21"/>
                <w:lang w:val="en-US" w:eastAsia="zh-CN"/>
              </w:rPr>
              <w:t>VZMJ0.45-50-3</w:t>
            </w:r>
            <w:r>
              <w:rPr>
                <w:rFonts w:hint="eastAsia" w:ascii="宋体" w:hAnsi="宋体" w:cs="宋体"/>
                <w:sz w:val="21"/>
                <w:szCs w:val="21"/>
              </w:rPr>
              <w:t xml:space="preserve"> </w:t>
            </w:r>
            <w:r>
              <w:rPr>
                <w:rFonts w:hint="eastAsia" w:ascii="宋体" w:hAnsi="宋体" w:cs="宋体"/>
                <w:sz w:val="21"/>
                <w:szCs w:val="21"/>
                <w:lang w:val="en-US" w:eastAsia="zh-CN"/>
              </w:rPr>
              <w:t xml:space="preserve"> 64.2A</w:t>
            </w:r>
            <w:r>
              <w:rPr>
                <w:rFonts w:hint="eastAsia" w:ascii="宋体" w:hAnsi="宋体" w:cs="宋体"/>
                <w:sz w:val="21"/>
                <w:szCs w:val="21"/>
              </w:rPr>
              <w:t xml:space="preserve"> </w:t>
            </w:r>
            <w:r>
              <w:rPr>
                <w:rFonts w:hint="eastAsia" w:ascii="宋体" w:hAnsi="宋体" w:cs="宋体"/>
                <w:sz w:val="21"/>
                <w:szCs w:val="21"/>
                <w:lang w:val="en-US" w:eastAsia="zh-CN"/>
              </w:rPr>
              <w:t xml:space="preserve"> 50Kvar</w:t>
            </w:r>
            <w:r>
              <w:rPr>
                <w:rFonts w:hint="eastAsia" w:ascii="宋体" w:hAnsi="宋体" w:cs="宋体"/>
                <w:sz w:val="21"/>
                <w:szCs w:val="21"/>
              </w:rPr>
              <w:t xml:space="preserve"> </w:t>
            </w:r>
            <w:r>
              <w:rPr>
                <w:rFonts w:hint="eastAsia" w:ascii="宋体" w:hAnsi="宋体" w:cs="宋体"/>
                <w:sz w:val="21"/>
                <w:szCs w:val="21"/>
                <w:lang w:val="en-US" w:eastAsia="zh-CN"/>
              </w:rPr>
              <w:t xml:space="preserve"> </w:t>
            </w:r>
            <w:r>
              <w:rPr>
                <w:rFonts w:hint="eastAsia" w:ascii="宋体" w:hAnsi="宋体" w:cs="宋体"/>
                <w:sz w:val="21"/>
                <w:szCs w:val="21"/>
              </w:rPr>
              <w:t>数量</w:t>
            </w:r>
            <w:r>
              <w:rPr>
                <w:rFonts w:hint="eastAsia" w:ascii="宋体" w:hAnsi="宋体" w:cs="宋体"/>
                <w:sz w:val="21"/>
                <w:szCs w:val="21"/>
                <w:lang w:val="en-US" w:eastAsia="zh-CN"/>
              </w:rPr>
              <w:t>8</w:t>
            </w:r>
            <w:r>
              <w:rPr>
                <w:rFonts w:hint="eastAsia" w:ascii="宋体" w:hAnsi="宋体" w:cs="宋体"/>
                <w:sz w:val="21"/>
                <w:szCs w:val="21"/>
              </w:rPr>
              <w:t>个</w:t>
            </w:r>
            <w:r>
              <w:rPr>
                <w:rFonts w:hint="eastAsia" w:ascii="宋体" w:hAnsi="宋体" w:cs="宋体"/>
                <w:sz w:val="21"/>
                <w:szCs w:val="21"/>
                <w:lang w:val="en-US" w:eastAsia="zh-CN"/>
              </w:rPr>
              <w:t>抽检数量8个崔浩东</w:t>
            </w:r>
            <w:r>
              <w:rPr>
                <w:rFonts w:hint="eastAsia" w:ascii="宋体" w:hAnsi="宋体" w:cs="宋体"/>
                <w:sz w:val="21"/>
                <w:szCs w:val="21"/>
              </w:rPr>
              <w:t xml:space="preserve"> 日期 20</w:t>
            </w:r>
            <w:r>
              <w:rPr>
                <w:rFonts w:hint="eastAsia" w:ascii="宋体" w:hAnsi="宋体" w:cs="宋体"/>
                <w:sz w:val="21"/>
                <w:szCs w:val="21"/>
                <w:lang w:val="en-US" w:eastAsia="zh-CN"/>
              </w:rPr>
              <w:t>19年12月16日</w:t>
            </w:r>
          </w:p>
          <w:p>
            <w:pPr>
              <w:spacing w:line="280" w:lineRule="exact"/>
              <w:rPr>
                <w:rFonts w:hint="eastAsia" w:ascii="宋体" w:hAnsi="宋体" w:cs="宋体"/>
                <w:sz w:val="21"/>
                <w:szCs w:val="21"/>
              </w:rPr>
            </w:pPr>
            <w:r>
              <w:rPr>
                <w:rFonts w:hint="eastAsia" w:ascii="宋体" w:hAnsi="宋体" w:cs="宋体"/>
                <w:sz w:val="21"/>
                <w:szCs w:val="21"/>
              </w:rPr>
              <w:t>母线进厂检验记录  规格型号TMY-</w:t>
            </w:r>
            <w:r>
              <w:rPr>
                <w:rFonts w:hint="eastAsia" w:ascii="宋体" w:hAnsi="宋体" w:cs="宋体"/>
                <w:sz w:val="21"/>
                <w:szCs w:val="21"/>
                <w:lang w:val="en-US" w:eastAsia="zh-CN"/>
              </w:rPr>
              <w:t>8</w:t>
            </w:r>
            <w:r>
              <w:rPr>
                <w:rFonts w:hint="eastAsia" w:ascii="宋体" w:hAnsi="宋体" w:cs="宋体"/>
                <w:sz w:val="21"/>
                <w:szCs w:val="21"/>
              </w:rPr>
              <w:t>*</w:t>
            </w:r>
            <w:r>
              <w:rPr>
                <w:rFonts w:hint="eastAsia" w:ascii="宋体" w:hAnsi="宋体" w:cs="宋体"/>
                <w:sz w:val="21"/>
                <w:szCs w:val="21"/>
                <w:lang w:val="en-US" w:eastAsia="zh-CN"/>
              </w:rPr>
              <w:t>40.5*40.4*40</w:t>
            </w:r>
            <w:r>
              <w:rPr>
                <w:rFonts w:hint="eastAsia" w:ascii="宋体" w:hAnsi="宋体" w:cs="宋体"/>
                <w:sz w:val="21"/>
                <w:szCs w:val="21"/>
              </w:rPr>
              <w:t xml:space="preserve">  </w:t>
            </w:r>
            <w:r>
              <w:rPr>
                <w:rFonts w:hint="eastAsia" w:ascii="宋体" w:hAnsi="宋体" w:cs="宋体"/>
                <w:sz w:val="21"/>
                <w:szCs w:val="21"/>
                <w:lang w:val="en-US" w:eastAsia="zh-CN"/>
              </w:rPr>
              <w:t>1</w:t>
            </w:r>
            <w:r>
              <w:rPr>
                <w:rFonts w:hint="eastAsia" w:ascii="宋体" w:hAnsi="宋体" w:cs="宋体"/>
                <w:sz w:val="21"/>
                <w:szCs w:val="21"/>
              </w:rPr>
              <w:t>根 检验员：</w:t>
            </w:r>
            <w:r>
              <w:rPr>
                <w:rFonts w:hint="eastAsia" w:ascii="宋体" w:hAnsi="宋体" w:cs="宋体"/>
                <w:sz w:val="21"/>
                <w:szCs w:val="21"/>
                <w:lang w:val="en-US" w:eastAsia="zh-CN"/>
              </w:rPr>
              <w:t>崔浩东</w:t>
            </w:r>
            <w:r>
              <w:rPr>
                <w:rFonts w:hint="eastAsia" w:ascii="宋体" w:hAnsi="宋体" w:cs="宋体"/>
                <w:sz w:val="21"/>
                <w:szCs w:val="21"/>
              </w:rPr>
              <w:t xml:space="preserve"> 日期 20</w:t>
            </w:r>
            <w:r>
              <w:rPr>
                <w:rFonts w:hint="eastAsia" w:ascii="宋体" w:hAnsi="宋体" w:cs="宋体"/>
                <w:sz w:val="21"/>
                <w:szCs w:val="21"/>
                <w:lang w:val="en-US" w:eastAsia="zh-CN"/>
              </w:rPr>
              <w:t>19年12月16日</w:t>
            </w:r>
            <w:r>
              <w:rPr>
                <w:rFonts w:hint="eastAsia" w:ascii="宋体" w:hAnsi="宋体" w:cs="宋体"/>
                <w:sz w:val="21"/>
                <w:szCs w:val="21"/>
              </w:rPr>
              <w:t>合格。</w:t>
            </w:r>
          </w:p>
          <w:p>
            <w:pPr>
              <w:spacing w:line="280" w:lineRule="exact"/>
              <w:rPr>
                <w:rFonts w:hint="eastAsia" w:ascii="宋体" w:hAnsi="宋体" w:cs="宋体"/>
                <w:sz w:val="21"/>
                <w:szCs w:val="21"/>
              </w:rPr>
            </w:pPr>
            <w:r>
              <w:rPr>
                <w:rFonts w:hint="eastAsia" w:ascii="宋体" w:hAnsi="宋体" w:cs="宋体"/>
                <w:sz w:val="21"/>
                <w:szCs w:val="21"/>
              </w:rPr>
              <w:t>原材料检查未见不符。</w:t>
            </w:r>
          </w:p>
          <w:p>
            <w:pPr>
              <w:spacing w:line="280" w:lineRule="exact"/>
              <w:rPr>
                <w:rFonts w:hint="eastAsia" w:ascii="宋体" w:hAnsi="宋体" w:cs="宋体"/>
                <w:b/>
                <w:bCs/>
                <w:sz w:val="21"/>
                <w:szCs w:val="21"/>
              </w:rPr>
            </w:pPr>
            <w:r>
              <w:rPr>
                <w:rFonts w:hint="eastAsia" w:ascii="宋体" w:hAnsi="宋体" w:cs="宋体"/>
                <w:b/>
                <w:bCs/>
                <w:sz w:val="21"/>
                <w:szCs w:val="21"/>
              </w:rPr>
              <w:t>抽查过程控制记录</w:t>
            </w:r>
          </w:p>
          <w:p>
            <w:pPr>
              <w:spacing w:line="280" w:lineRule="exact"/>
              <w:rPr>
                <w:rFonts w:hint="eastAsia" w:ascii="宋体" w:hAnsi="宋体" w:cs="宋体"/>
                <w:sz w:val="21"/>
                <w:szCs w:val="21"/>
              </w:rPr>
            </w:pPr>
            <w:r>
              <w:rPr>
                <w:rFonts w:hint="eastAsia" w:ascii="宋体" w:hAnsi="宋体" w:cs="宋体"/>
                <w:b/>
                <w:bCs/>
                <w:sz w:val="21"/>
                <w:szCs w:val="21"/>
              </w:rPr>
              <w:t xml:space="preserve">配电箱250A </w:t>
            </w:r>
            <w:r>
              <w:rPr>
                <w:rFonts w:hint="eastAsia" w:ascii="宋体" w:hAnsi="宋体" w:cs="宋体"/>
                <w:sz w:val="21"/>
                <w:szCs w:val="21"/>
              </w:rPr>
              <w:t xml:space="preserve"> 生产编号</w:t>
            </w:r>
            <w:r>
              <w:rPr>
                <w:rFonts w:hint="eastAsia" w:ascii="宋体" w:hAnsi="宋体" w:cs="宋体"/>
                <w:sz w:val="21"/>
                <w:szCs w:val="21"/>
                <w:lang w:val="en-US" w:eastAsia="zh-CN"/>
              </w:rPr>
              <w:t>20</w:t>
            </w:r>
            <w:r>
              <w:rPr>
                <w:rFonts w:hint="eastAsia" w:ascii="宋体" w:hAnsi="宋体" w:cs="宋体"/>
                <w:sz w:val="21"/>
                <w:szCs w:val="21"/>
              </w:rPr>
              <w:t>002  日期  作业内容  作业人  检验结果  检验结果：合格  检验员 杨海洋</w:t>
            </w:r>
          </w:p>
          <w:p>
            <w:pPr>
              <w:spacing w:line="280" w:lineRule="exact"/>
              <w:rPr>
                <w:rFonts w:hint="eastAsia" w:ascii="宋体" w:hAnsi="宋体" w:cs="宋体"/>
                <w:sz w:val="21"/>
                <w:szCs w:val="21"/>
              </w:rPr>
            </w:pPr>
            <w:r>
              <w:rPr>
                <w:rFonts w:hint="eastAsia" w:ascii="宋体" w:hAnsi="宋体" w:cs="宋体"/>
                <w:b/>
                <w:bCs/>
                <w:sz w:val="21"/>
                <w:szCs w:val="21"/>
              </w:rPr>
              <w:t>10KV高压开关柜</w:t>
            </w:r>
            <w:r>
              <w:rPr>
                <w:rFonts w:hint="eastAsia" w:ascii="宋体" w:hAnsi="宋体" w:cs="宋体"/>
                <w:sz w:val="21"/>
                <w:szCs w:val="21"/>
              </w:rPr>
              <w:t xml:space="preserve"> 生产编号</w:t>
            </w:r>
            <w:r>
              <w:rPr>
                <w:rFonts w:hint="eastAsia" w:ascii="宋体" w:hAnsi="宋体" w:cs="宋体"/>
                <w:sz w:val="21"/>
                <w:szCs w:val="21"/>
                <w:lang w:val="en-US" w:eastAsia="zh-CN"/>
              </w:rPr>
              <w:t>20</w:t>
            </w:r>
            <w:r>
              <w:rPr>
                <w:rFonts w:hint="eastAsia" w:ascii="宋体" w:hAnsi="宋体" w:cs="宋体"/>
                <w:sz w:val="21"/>
                <w:szCs w:val="21"/>
              </w:rPr>
              <w:t>002  日期  作业内容  作业人  检验结果  检验结果：合格  检验员 杨海洋</w:t>
            </w:r>
          </w:p>
          <w:p>
            <w:pPr>
              <w:spacing w:line="280" w:lineRule="exact"/>
              <w:rPr>
                <w:rFonts w:hint="eastAsia" w:ascii="宋体" w:hAnsi="宋体" w:cs="宋体"/>
                <w:sz w:val="21"/>
                <w:szCs w:val="21"/>
              </w:rPr>
            </w:pPr>
            <w:r>
              <w:rPr>
                <w:rFonts w:hint="eastAsia" w:ascii="宋体" w:hAnsi="宋体" w:cs="宋体"/>
                <w:b/>
                <w:bCs/>
                <w:sz w:val="21"/>
                <w:szCs w:val="21"/>
              </w:rPr>
              <w:t>变压器</w:t>
            </w:r>
            <w:r>
              <w:rPr>
                <w:rFonts w:hint="eastAsia" w:ascii="宋体" w:hAnsi="宋体" w:cs="宋体"/>
                <w:sz w:val="21"/>
                <w:szCs w:val="21"/>
              </w:rPr>
              <w:t xml:space="preserve">  生产编号</w:t>
            </w:r>
            <w:r>
              <w:rPr>
                <w:rFonts w:hint="eastAsia" w:ascii="宋体" w:hAnsi="宋体" w:cs="宋体"/>
                <w:sz w:val="21"/>
                <w:szCs w:val="21"/>
                <w:lang w:val="en-US" w:eastAsia="zh-CN"/>
              </w:rPr>
              <w:t>20</w:t>
            </w:r>
            <w:r>
              <w:rPr>
                <w:rFonts w:hint="eastAsia" w:ascii="宋体" w:hAnsi="宋体" w:cs="宋体"/>
                <w:sz w:val="21"/>
                <w:szCs w:val="21"/>
              </w:rPr>
              <w:t>002  日期  作业内容  作业人  检验结果  检验结果：合格  检验员 杨海洋</w:t>
            </w:r>
          </w:p>
          <w:p>
            <w:pPr>
              <w:spacing w:line="280" w:lineRule="exact"/>
              <w:rPr>
                <w:rFonts w:hint="eastAsia" w:ascii="宋体" w:hAnsi="宋体" w:cs="宋体"/>
                <w:sz w:val="21"/>
                <w:szCs w:val="21"/>
              </w:rPr>
            </w:pPr>
            <w:r>
              <w:rPr>
                <w:rFonts w:hint="eastAsia" w:ascii="宋体" w:hAnsi="宋体" w:cs="宋体"/>
                <w:b/>
                <w:bCs/>
                <w:sz w:val="21"/>
                <w:szCs w:val="21"/>
              </w:rPr>
              <w:t>低压抽出式开关设备</w:t>
            </w:r>
            <w:r>
              <w:rPr>
                <w:rFonts w:hint="eastAsia" w:ascii="宋体" w:hAnsi="宋体" w:cs="宋体"/>
                <w:sz w:val="21"/>
                <w:szCs w:val="21"/>
              </w:rPr>
              <w:t xml:space="preserve"> 生产编号</w:t>
            </w:r>
            <w:r>
              <w:rPr>
                <w:rFonts w:hint="eastAsia" w:ascii="宋体" w:hAnsi="宋体" w:cs="宋体"/>
                <w:sz w:val="21"/>
                <w:szCs w:val="21"/>
                <w:lang w:val="en-US" w:eastAsia="zh-CN"/>
              </w:rPr>
              <w:t>28</w:t>
            </w:r>
            <w:r>
              <w:rPr>
                <w:rFonts w:hint="eastAsia" w:ascii="宋体" w:hAnsi="宋体" w:cs="宋体"/>
                <w:sz w:val="21"/>
                <w:szCs w:val="21"/>
              </w:rPr>
              <w:t>002  日期  作业内容  作业人  检验结果  检验结果：合格  检验员 杨海洋</w:t>
            </w:r>
          </w:p>
          <w:p>
            <w:pPr>
              <w:spacing w:line="280" w:lineRule="exact"/>
              <w:rPr>
                <w:rFonts w:hint="eastAsia" w:ascii="宋体" w:hAnsi="宋体" w:cs="宋体"/>
                <w:sz w:val="21"/>
                <w:szCs w:val="21"/>
              </w:rPr>
            </w:pPr>
            <w:r>
              <w:rPr>
                <w:rFonts w:hint="eastAsia" w:ascii="宋体" w:hAnsi="宋体" w:cs="宋体"/>
                <w:b/>
                <w:bCs/>
                <w:sz w:val="21"/>
                <w:szCs w:val="21"/>
              </w:rPr>
              <w:t>箱式变电站</w:t>
            </w:r>
            <w:r>
              <w:rPr>
                <w:rFonts w:hint="eastAsia" w:ascii="宋体" w:hAnsi="宋体" w:cs="宋体"/>
                <w:sz w:val="21"/>
                <w:szCs w:val="21"/>
              </w:rPr>
              <w:t xml:space="preserve"> 生产编号1</w:t>
            </w:r>
            <w:r>
              <w:rPr>
                <w:rFonts w:hint="eastAsia" w:ascii="宋体" w:hAnsi="宋体" w:cs="宋体"/>
                <w:sz w:val="21"/>
                <w:szCs w:val="21"/>
                <w:lang w:val="en-US" w:eastAsia="zh-CN"/>
              </w:rPr>
              <w:t>28</w:t>
            </w:r>
            <w:r>
              <w:rPr>
                <w:rFonts w:hint="eastAsia" w:ascii="宋体" w:hAnsi="宋体" w:cs="宋体"/>
                <w:sz w:val="21"/>
                <w:szCs w:val="21"/>
              </w:rPr>
              <w:t>002  日期  作业内容  作业人  检验结果  检验结果：合格  检验员 杨海洋</w:t>
            </w:r>
          </w:p>
          <w:p>
            <w:pPr>
              <w:spacing w:line="280" w:lineRule="exact"/>
              <w:rPr>
                <w:rFonts w:hint="eastAsia" w:ascii="宋体" w:hAnsi="宋体" w:cs="宋体"/>
                <w:b/>
                <w:bCs/>
                <w:sz w:val="21"/>
                <w:szCs w:val="21"/>
              </w:rPr>
            </w:pPr>
            <w:r>
              <w:rPr>
                <w:rFonts w:hint="eastAsia" w:ascii="宋体" w:hAnsi="宋体" w:cs="宋体"/>
                <w:b/>
                <w:bCs/>
                <w:sz w:val="21"/>
                <w:szCs w:val="21"/>
              </w:rPr>
              <w:t>低压无功补偿装置</w:t>
            </w:r>
            <w:r>
              <w:rPr>
                <w:rFonts w:hint="eastAsia" w:ascii="宋体" w:hAnsi="宋体" w:cs="宋体"/>
                <w:sz w:val="21"/>
                <w:szCs w:val="21"/>
              </w:rPr>
              <w:t xml:space="preserve">  生产编号</w:t>
            </w:r>
            <w:r>
              <w:rPr>
                <w:rFonts w:hint="eastAsia" w:ascii="宋体" w:hAnsi="宋体" w:cs="宋体"/>
                <w:sz w:val="21"/>
                <w:szCs w:val="21"/>
                <w:lang w:val="en-US" w:eastAsia="zh-CN"/>
              </w:rPr>
              <w:t>20</w:t>
            </w:r>
            <w:r>
              <w:rPr>
                <w:rFonts w:hint="eastAsia" w:ascii="宋体" w:hAnsi="宋体" w:cs="宋体"/>
                <w:sz w:val="21"/>
                <w:szCs w:val="21"/>
              </w:rPr>
              <w:t>002  日期  作业内容  作业人  检验结果  检验结果：合格  检验员 杨海洋</w:t>
            </w:r>
          </w:p>
          <w:p>
            <w:pPr>
              <w:spacing w:line="280" w:lineRule="exact"/>
              <w:rPr>
                <w:rFonts w:hint="eastAsia" w:ascii="宋体" w:hAnsi="宋体" w:cs="宋体"/>
                <w:b/>
                <w:bCs/>
                <w:sz w:val="21"/>
                <w:szCs w:val="21"/>
              </w:rPr>
            </w:pPr>
            <w:r>
              <w:rPr>
                <w:rFonts w:hint="eastAsia" w:ascii="宋体" w:hAnsi="宋体" w:cs="宋体"/>
                <w:b/>
                <w:bCs/>
                <w:sz w:val="21"/>
                <w:szCs w:val="21"/>
              </w:rPr>
              <w:t>抽成品检验记录</w:t>
            </w:r>
          </w:p>
          <w:p>
            <w:pPr>
              <w:spacing w:line="280" w:lineRule="exact"/>
              <w:textAlignment w:val="baseline"/>
              <w:rPr>
                <w:rFonts w:hint="eastAsia" w:ascii="宋体" w:hAnsi="宋体" w:cs="宋体"/>
                <w:sz w:val="21"/>
                <w:szCs w:val="21"/>
              </w:rPr>
            </w:pPr>
            <w:r>
              <w:rPr>
                <w:rFonts w:hint="eastAsia" w:ascii="宋体" w:hAnsi="宋体" w:cs="宋体"/>
                <w:sz w:val="21"/>
                <w:szCs w:val="21"/>
              </w:rPr>
              <w:t xml:space="preserve">   查到产品</w:t>
            </w:r>
            <w:r>
              <w:rPr>
                <w:rFonts w:hint="eastAsia" w:ascii="宋体" w:hAnsi="宋体" w:cs="宋体"/>
                <w:b/>
                <w:bCs/>
                <w:sz w:val="21"/>
                <w:szCs w:val="21"/>
              </w:rPr>
              <w:t>（10KV高压开关柜、分支箱、变压器、低压抽出式开关设备、箱式变电站、低压无功补偿装置）</w:t>
            </w:r>
            <w:r>
              <w:rPr>
                <w:rFonts w:hint="eastAsia" w:ascii="宋体" w:hAnsi="宋体" w:cs="宋体"/>
                <w:sz w:val="21"/>
                <w:szCs w:val="21"/>
              </w:rPr>
              <w:t>例行检验记录、产品确认检验记录、包括：试验项目、试验内容和参数、检验结果 检验人  结论，符合，未见不符。</w:t>
            </w:r>
          </w:p>
          <w:p>
            <w:pPr>
              <w:spacing w:line="280" w:lineRule="exact"/>
              <w:textAlignment w:val="baseline"/>
              <w:rPr>
                <w:rFonts w:hint="eastAsia" w:ascii="宋体" w:hAnsi="宋体" w:cs="宋体"/>
                <w:sz w:val="21"/>
                <w:szCs w:val="21"/>
              </w:rPr>
            </w:pPr>
            <w:r>
              <w:rPr>
                <w:rFonts w:hint="eastAsia" w:ascii="宋体" w:hAnsi="宋体" w:cs="宋体"/>
                <w:sz w:val="21"/>
                <w:szCs w:val="21"/>
              </w:rPr>
              <w:t>查到型式试验报告</w:t>
            </w:r>
          </w:p>
          <w:p>
            <w:pPr>
              <w:spacing w:line="280" w:lineRule="exact"/>
              <w:textAlignment w:val="baseline"/>
              <w:rPr>
                <w:rFonts w:hint="eastAsia" w:ascii="宋体" w:hAnsi="宋体" w:cs="宋体"/>
                <w:sz w:val="21"/>
                <w:szCs w:val="21"/>
              </w:rPr>
            </w:pPr>
            <w:r>
              <w:rPr>
                <w:rFonts w:hint="eastAsia" w:ascii="宋体" w:hAnsi="宋体" w:cs="宋体"/>
                <w:sz w:val="21"/>
                <w:szCs w:val="21"/>
              </w:rPr>
              <w:t>低压无功补偿装置  GGJ  编号：06301-18认检238-3037771-S  检测机构：天津天传电控设备检测有限公司 合格。</w:t>
            </w:r>
          </w:p>
          <w:p>
            <w:pPr>
              <w:spacing w:line="280" w:lineRule="exact"/>
              <w:textAlignment w:val="baseline"/>
              <w:rPr>
                <w:rFonts w:hint="eastAsia" w:ascii="宋体" w:hAnsi="宋体" w:cs="宋体"/>
                <w:sz w:val="21"/>
                <w:szCs w:val="21"/>
              </w:rPr>
            </w:pPr>
            <w:r>
              <w:rPr>
                <w:rFonts w:hint="eastAsia" w:ascii="宋体" w:hAnsi="宋体" w:cs="宋体"/>
                <w:sz w:val="21"/>
                <w:szCs w:val="21"/>
              </w:rPr>
              <w:t>低压抽出式开关设备  GGS  编号06301-18认检238-3037768-S  检测机构：天津天传电控设备检测有限公司 合格。</w:t>
            </w:r>
          </w:p>
          <w:p>
            <w:pPr>
              <w:spacing w:line="280" w:lineRule="exact"/>
              <w:textAlignment w:val="baseline"/>
              <w:rPr>
                <w:rFonts w:hint="eastAsia" w:ascii="宋体" w:hAnsi="宋体" w:cs="宋体"/>
                <w:sz w:val="21"/>
                <w:szCs w:val="21"/>
              </w:rPr>
            </w:pPr>
            <w:r>
              <w:rPr>
                <w:rFonts w:hint="eastAsia" w:ascii="宋体" w:hAnsi="宋体" w:cs="宋体"/>
                <w:sz w:val="21"/>
                <w:szCs w:val="21"/>
              </w:rPr>
              <w:t>低压固定柜  GGD  编号06301-18认检2388-3039571-S  检测机构：天津天传电控设备检测有限公司 合格。</w:t>
            </w:r>
          </w:p>
          <w:p>
            <w:pPr>
              <w:spacing w:line="280" w:lineRule="exact"/>
              <w:textAlignment w:val="baseline"/>
              <w:rPr>
                <w:rFonts w:hint="eastAsia" w:ascii="宋体" w:hAnsi="宋体" w:cs="宋体"/>
                <w:sz w:val="21"/>
                <w:szCs w:val="21"/>
              </w:rPr>
            </w:pPr>
            <w:r>
              <w:rPr>
                <w:rFonts w:hint="eastAsia" w:ascii="宋体" w:hAnsi="宋体" w:cs="宋体"/>
                <w:sz w:val="21"/>
                <w:szCs w:val="21"/>
              </w:rPr>
              <w:t>箱式变电站  YB-12/0.4-1000  编号</w:t>
            </w:r>
            <w:r>
              <w:rPr>
                <w:rFonts w:hint="eastAsia" w:ascii="宋体" w:hAnsi="宋体" w:cs="宋体"/>
                <w:sz w:val="21"/>
                <w:szCs w:val="21"/>
                <w:lang w:val="en-US" w:eastAsia="zh-CN"/>
              </w:rPr>
              <w:t>20</w:t>
            </w:r>
            <w:r>
              <w:rPr>
                <w:rFonts w:hint="eastAsia" w:ascii="宋体" w:hAnsi="宋体" w:cs="宋体"/>
                <w:sz w:val="21"/>
                <w:szCs w:val="21"/>
              </w:rPr>
              <w:t>XB0572-S 检测机构：天津天传电控设备检测有限公司 合格。</w:t>
            </w:r>
          </w:p>
          <w:p>
            <w:pPr>
              <w:spacing w:line="280" w:lineRule="exact"/>
              <w:textAlignment w:val="baseline"/>
              <w:rPr>
                <w:rFonts w:hint="eastAsia" w:ascii="宋体" w:hAnsi="宋体" w:cs="宋体"/>
                <w:sz w:val="21"/>
                <w:szCs w:val="21"/>
              </w:rPr>
            </w:pPr>
            <w:r>
              <w:rPr>
                <w:rFonts w:hint="eastAsia" w:ascii="宋体" w:hAnsi="宋体" w:cs="宋体"/>
                <w:sz w:val="21"/>
                <w:szCs w:val="21"/>
              </w:rPr>
              <w:t>干式变压器  SCB10-1000/10  编号</w:t>
            </w:r>
            <w:r>
              <w:rPr>
                <w:rFonts w:hint="eastAsia" w:ascii="宋体" w:hAnsi="宋体" w:cs="宋体"/>
                <w:sz w:val="21"/>
                <w:szCs w:val="21"/>
                <w:lang w:val="en-US" w:eastAsia="zh-CN"/>
              </w:rPr>
              <w:t>20</w:t>
            </w:r>
            <w:r>
              <w:rPr>
                <w:rFonts w:hint="eastAsia" w:ascii="宋体" w:hAnsi="宋体" w:cs="宋体"/>
                <w:sz w:val="21"/>
                <w:szCs w:val="21"/>
              </w:rPr>
              <w:t>N0767-S 检测机构：天津天传电控设备检测有限公司 合格。</w:t>
            </w:r>
          </w:p>
          <w:p>
            <w:pPr>
              <w:spacing w:line="280" w:lineRule="exact"/>
              <w:textAlignment w:val="baseline"/>
              <w:rPr>
                <w:rFonts w:hint="eastAsia" w:ascii="宋体" w:hAnsi="宋体" w:cs="宋体"/>
                <w:sz w:val="21"/>
                <w:szCs w:val="21"/>
              </w:rPr>
            </w:pPr>
            <w:r>
              <w:rPr>
                <w:rFonts w:hint="eastAsia" w:ascii="宋体" w:hAnsi="宋体" w:cs="宋体"/>
                <w:sz w:val="21"/>
                <w:szCs w:val="21"/>
              </w:rPr>
              <w:t>电力变压器  S13-M-1250/10  编号M1295-S检测机构：天津天传电控设备检测有限公司 合格。</w:t>
            </w:r>
          </w:p>
          <w:p>
            <w:pPr>
              <w:spacing w:line="280" w:lineRule="exact"/>
              <w:ind w:firstLine="420" w:firstLineChars="200"/>
              <w:textAlignment w:val="baseline"/>
              <w:rPr>
                <w:rFonts w:hint="eastAsia" w:ascii="宋体" w:hAnsi="宋体" w:cs="宋体"/>
                <w:sz w:val="21"/>
                <w:szCs w:val="21"/>
              </w:rPr>
            </w:pPr>
            <w:r>
              <w:rPr>
                <w:rFonts w:hint="eastAsia" w:ascii="宋体" w:hAnsi="宋体" w:cs="宋体"/>
                <w:sz w:val="21"/>
                <w:szCs w:val="21"/>
              </w:rPr>
              <w:t>产品交付顾客后，需填写产品安装确认书，对产品的名称、数量、安装是否合格进行确认。</w:t>
            </w:r>
          </w:p>
          <w:p>
            <w:pPr>
              <w:spacing w:line="280" w:lineRule="exact"/>
              <w:ind w:firstLine="420" w:firstLineChars="200"/>
              <w:textAlignment w:val="baseline"/>
              <w:rPr>
                <w:rFonts w:hint="eastAsia" w:ascii="宋体" w:hAnsi="宋体" w:cs="宋体"/>
                <w:sz w:val="21"/>
                <w:szCs w:val="21"/>
              </w:rPr>
            </w:pPr>
            <w:r>
              <w:rPr>
                <w:rFonts w:hint="eastAsia" w:ascii="宋体" w:hAnsi="宋体" w:cs="宋体"/>
                <w:sz w:val="21"/>
                <w:szCs w:val="21"/>
              </w:rPr>
              <w:t xml:space="preserve">其它产品均按照上述过程控制不一一进行记录。        </w:t>
            </w:r>
          </w:p>
          <w:p>
            <w:pPr>
              <w:spacing w:line="280" w:lineRule="exact"/>
              <w:ind w:firstLine="315" w:firstLineChars="150"/>
              <w:textAlignment w:val="baseline"/>
              <w:rPr>
                <w:rFonts w:hint="eastAsia" w:ascii="宋体" w:hAnsi="宋体" w:cs="宋体"/>
                <w:sz w:val="21"/>
                <w:szCs w:val="21"/>
              </w:rPr>
            </w:pPr>
            <w:r>
              <w:rPr>
                <w:rFonts w:hint="eastAsia" w:ascii="宋体" w:hAnsi="宋体" w:cs="宋体"/>
                <w:sz w:val="21"/>
                <w:szCs w:val="21"/>
              </w:rPr>
              <w:t>经查，对质检员进行了授权，查到《授权书》，质检员：杨海洋。</w:t>
            </w:r>
          </w:p>
          <w:p>
            <w:pPr>
              <w:spacing w:line="280" w:lineRule="exact"/>
              <w:textAlignment w:val="baseline"/>
              <w:rPr>
                <w:rFonts w:hint="eastAsia" w:ascii="宋体" w:hAnsi="宋体" w:cs="宋体"/>
                <w:sz w:val="21"/>
                <w:szCs w:val="21"/>
              </w:rPr>
            </w:pPr>
            <w:r>
              <w:rPr>
                <w:rFonts w:hint="eastAsia" w:ascii="宋体" w:hAnsi="宋体" w:eastAsia="宋体" w:cs="宋体"/>
                <w:sz w:val="21"/>
                <w:szCs w:val="21"/>
                <w:lang w:eastAsia="zh-CN"/>
              </w:rPr>
              <w:drawing>
                <wp:anchor distT="0" distB="0" distL="114300" distR="114300" simplePos="0" relativeHeight="251660288" behindDoc="0" locked="0" layoutInCell="1" allowOverlap="1">
                  <wp:simplePos x="0" y="0"/>
                  <wp:positionH relativeFrom="column">
                    <wp:posOffset>3582670</wp:posOffset>
                  </wp:positionH>
                  <wp:positionV relativeFrom="paragraph">
                    <wp:posOffset>347345</wp:posOffset>
                  </wp:positionV>
                  <wp:extent cx="1433195" cy="2502535"/>
                  <wp:effectExtent l="0" t="0" r="14605" b="12065"/>
                  <wp:wrapNone/>
                  <wp:docPr id="5" name="图片 5" descr="扫描全能王 2020-11-30 10.28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扫描全能王 2020-11-30 10.28_14"/>
                          <pic:cNvPicPr>
                            <a:picLocks noChangeAspect="1"/>
                          </pic:cNvPicPr>
                        </pic:nvPicPr>
                        <pic:blipFill>
                          <a:blip r:embed="rId6"/>
                          <a:stretch>
                            <a:fillRect/>
                          </a:stretch>
                        </pic:blipFill>
                        <pic:spPr>
                          <a:xfrm>
                            <a:off x="0" y="0"/>
                            <a:ext cx="1433195" cy="2502535"/>
                          </a:xfrm>
                          <a:prstGeom prst="rect">
                            <a:avLst/>
                          </a:prstGeom>
                        </pic:spPr>
                      </pic:pic>
                    </a:graphicData>
                  </a:graphic>
                </wp:anchor>
              </w:drawing>
            </w:r>
            <w:r>
              <w:rPr>
                <w:rFonts w:hint="eastAsia" w:ascii="宋体" w:hAnsi="宋体" w:cs="宋体"/>
                <w:sz w:val="21"/>
                <w:szCs w:val="21"/>
                <w:lang w:val="en-US" w:eastAsia="zh-CN"/>
              </w:rPr>
              <w:drawing>
                <wp:anchor distT="0" distB="0" distL="114300" distR="114300" simplePos="0" relativeHeight="251659264" behindDoc="0" locked="0" layoutInCell="1" allowOverlap="1">
                  <wp:simplePos x="0" y="0"/>
                  <wp:positionH relativeFrom="column">
                    <wp:posOffset>1914525</wp:posOffset>
                  </wp:positionH>
                  <wp:positionV relativeFrom="paragraph">
                    <wp:posOffset>344170</wp:posOffset>
                  </wp:positionV>
                  <wp:extent cx="1544320" cy="2384425"/>
                  <wp:effectExtent l="0" t="0" r="17780" b="15875"/>
                  <wp:wrapNone/>
                  <wp:docPr id="3" name="图片 3" descr="扫描全能王 2020-11-30 10.2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扫描全能王 2020-11-30 10.28_2"/>
                          <pic:cNvPicPr>
                            <a:picLocks noChangeAspect="1"/>
                          </pic:cNvPicPr>
                        </pic:nvPicPr>
                        <pic:blipFill>
                          <a:blip r:embed="rId7"/>
                          <a:stretch>
                            <a:fillRect/>
                          </a:stretch>
                        </pic:blipFill>
                        <pic:spPr>
                          <a:xfrm>
                            <a:off x="0" y="0"/>
                            <a:ext cx="1544320" cy="2384425"/>
                          </a:xfrm>
                          <a:prstGeom prst="rect">
                            <a:avLst/>
                          </a:prstGeom>
                        </pic:spPr>
                      </pic:pic>
                    </a:graphicData>
                  </a:graphic>
                </wp:anchor>
              </w:drawing>
            </w:r>
            <w:r>
              <w:rPr>
                <w:rFonts w:hint="eastAsia" w:ascii="宋体" w:hAnsi="宋体" w:cs="宋体"/>
                <w:sz w:val="21"/>
                <w:szCs w:val="21"/>
              </w:rPr>
              <w:t xml:space="preserve">   负责人刘文良</w:t>
            </w:r>
            <w:r>
              <w:rPr>
                <w:rFonts w:hint="eastAsia" w:ascii="宋体" w:hAnsi="宋体" w:cs="宋体"/>
                <w:sz w:val="21"/>
                <w:szCs w:val="21"/>
                <w:lang w:eastAsia="zh-CN"/>
              </w:rPr>
              <w:t>介绍</w:t>
            </w:r>
            <w:r>
              <w:rPr>
                <w:rFonts w:hint="eastAsia" w:ascii="宋体" w:hAnsi="宋体" w:cs="宋体"/>
                <w:sz w:val="21"/>
                <w:szCs w:val="21"/>
              </w:rPr>
              <w:t>：生产部对生产车间的产品的检验情况实施日常的抽检，生产车间已按要求实施了产品的监视和测量，未见不符。</w:t>
            </w:r>
          </w:p>
          <w:p>
            <w:pPr>
              <w:spacing w:line="280" w:lineRule="exact"/>
              <w:textAlignment w:val="baseline"/>
              <w:rPr>
                <w:rFonts w:hint="eastAsia" w:ascii="宋体" w:hAnsi="宋体" w:cs="宋体"/>
                <w:sz w:val="21"/>
                <w:szCs w:val="21"/>
              </w:rPr>
            </w:pPr>
            <w:r>
              <w:rPr>
                <w:rFonts w:hint="eastAsia" w:ascii="宋体" w:hAnsi="宋体" w:cs="宋体"/>
                <w:sz w:val="21"/>
                <w:szCs w:val="21"/>
                <w:lang w:val="en-US" w:eastAsia="zh-CN"/>
              </w:rPr>
              <w:drawing>
                <wp:anchor distT="0" distB="0" distL="114300" distR="114300" simplePos="0" relativeHeight="251661312" behindDoc="0" locked="0" layoutInCell="1" allowOverlap="1">
                  <wp:simplePos x="0" y="0"/>
                  <wp:positionH relativeFrom="column">
                    <wp:posOffset>5266055</wp:posOffset>
                  </wp:positionH>
                  <wp:positionV relativeFrom="paragraph">
                    <wp:posOffset>22860</wp:posOffset>
                  </wp:positionV>
                  <wp:extent cx="1533525" cy="2306320"/>
                  <wp:effectExtent l="0" t="0" r="9525" b="17780"/>
                  <wp:wrapNone/>
                  <wp:docPr id="4" name="图片 4" descr="扫描全能王 2020-11-30 10.28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扫描全能王 2020-11-30 10.28_14"/>
                          <pic:cNvPicPr>
                            <a:picLocks noChangeAspect="1"/>
                          </pic:cNvPicPr>
                        </pic:nvPicPr>
                        <pic:blipFill>
                          <a:blip r:embed="rId6"/>
                          <a:stretch>
                            <a:fillRect/>
                          </a:stretch>
                        </pic:blipFill>
                        <pic:spPr>
                          <a:xfrm>
                            <a:off x="0" y="0"/>
                            <a:ext cx="1533525" cy="2306320"/>
                          </a:xfrm>
                          <a:prstGeom prst="rect">
                            <a:avLst/>
                          </a:prstGeom>
                        </pic:spPr>
                      </pic:pic>
                    </a:graphicData>
                  </a:graphic>
                </wp:anchor>
              </w:drawing>
            </w:r>
            <w:r>
              <w:rPr>
                <w:rFonts w:hint="eastAsia" w:ascii="宋体" w:hAnsi="宋体" w:eastAsia="宋体" w:cs="宋体"/>
                <w:sz w:val="21"/>
                <w:szCs w:val="21"/>
                <w:lang w:eastAsia="zh-CN"/>
              </w:rPr>
              <w:drawing>
                <wp:anchor distT="0" distB="0" distL="114300" distR="114300" simplePos="0" relativeHeight="251658240" behindDoc="0" locked="0" layoutInCell="1" allowOverlap="1">
                  <wp:simplePos x="0" y="0"/>
                  <wp:positionH relativeFrom="column">
                    <wp:posOffset>466090</wp:posOffset>
                  </wp:positionH>
                  <wp:positionV relativeFrom="paragraph">
                    <wp:posOffset>126365</wp:posOffset>
                  </wp:positionV>
                  <wp:extent cx="1267460" cy="2215515"/>
                  <wp:effectExtent l="0" t="0" r="8890" b="13335"/>
                  <wp:wrapNone/>
                  <wp:docPr id="2" name="图片 2" descr="扫描全能王 2020-11-30 10.2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扫描全能王 2020-11-30 10.28_1"/>
                          <pic:cNvPicPr>
                            <a:picLocks noChangeAspect="1"/>
                          </pic:cNvPicPr>
                        </pic:nvPicPr>
                        <pic:blipFill>
                          <a:blip r:embed="rId8"/>
                          <a:stretch>
                            <a:fillRect/>
                          </a:stretch>
                        </pic:blipFill>
                        <pic:spPr>
                          <a:xfrm>
                            <a:off x="0" y="0"/>
                            <a:ext cx="1267460" cy="2215515"/>
                          </a:xfrm>
                          <a:prstGeom prst="rect">
                            <a:avLst/>
                          </a:prstGeom>
                        </pic:spPr>
                      </pic:pic>
                    </a:graphicData>
                  </a:graphic>
                </wp:anchor>
              </w:drawing>
            </w:r>
          </w:p>
          <w:p>
            <w:pPr>
              <w:spacing w:line="280" w:lineRule="exact"/>
              <w:textAlignment w:val="baseline"/>
              <w:rPr>
                <w:rFonts w:hint="eastAsia" w:ascii="宋体" w:hAnsi="宋体" w:cs="宋体"/>
                <w:sz w:val="21"/>
                <w:szCs w:val="21"/>
              </w:rPr>
            </w:pPr>
          </w:p>
          <w:p>
            <w:pPr>
              <w:spacing w:line="280" w:lineRule="exact"/>
              <w:textAlignment w:val="baseline"/>
              <w:rPr>
                <w:rFonts w:hint="eastAsia" w:ascii="宋体" w:hAnsi="宋体" w:eastAsia="宋体" w:cs="宋体"/>
                <w:sz w:val="21"/>
                <w:szCs w:val="21"/>
                <w:lang w:eastAsia="zh-CN"/>
              </w:rPr>
            </w:pPr>
          </w:p>
          <w:p>
            <w:pPr>
              <w:spacing w:line="280" w:lineRule="exact"/>
              <w:textAlignment w:val="baseline"/>
              <w:rPr>
                <w:rFonts w:hint="eastAsia" w:ascii="宋体" w:hAnsi="宋体" w:cs="宋体"/>
                <w:sz w:val="21"/>
                <w:szCs w:val="21"/>
              </w:rPr>
            </w:pPr>
          </w:p>
          <w:p>
            <w:pPr>
              <w:spacing w:line="280" w:lineRule="exact"/>
              <w:textAlignment w:val="baseline"/>
              <w:rPr>
                <w:rFonts w:hint="eastAsia" w:ascii="宋体" w:hAnsi="宋体" w:cs="宋体"/>
                <w:sz w:val="21"/>
                <w:szCs w:val="21"/>
                <w:lang w:val="en-US" w:eastAsia="zh-CN"/>
              </w:rPr>
            </w:pPr>
          </w:p>
          <w:p>
            <w:pPr>
              <w:spacing w:line="280" w:lineRule="exact"/>
              <w:textAlignment w:val="baseline"/>
              <w:rPr>
                <w:rFonts w:hint="eastAsia" w:ascii="宋体" w:hAnsi="宋体" w:cs="宋体"/>
                <w:sz w:val="21"/>
                <w:szCs w:val="21"/>
                <w:lang w:val="en-US" w:eastAsia="zh-CN"/>
              </w:rPr>
            </w:pPr>
            <w:r>
              <w:rPr>
                <w:rFonts w:hint="eastAsia" w:ascii="宋体" w:hAnsi="宋体" w:cs="宋体"/>
                <w:sz w:val="21"/>
                <w:szCs w:val="21"/>
                <w:lang w:val="en-US" w:eastAsia="zh-CN"/>
              </w:rPr>
              <w:drawing>
                <wp:inline distT="0" distB="0" distL="114300" distR="114300">
                  <wp:extent cx="3847465" cy="5532120"/>
                  <wp:effectExtent l="0" t="0" r="635" b="11430"/>
                  <wp:docPr id="6" name="图片 6" descr="扫描全能王 2020-11-30 10.28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扫描全能王 2020-11-30 10.28_17"/>
                          <pic:cNvPicPr>
                            <a:picLocks noChangeAspect="1"/>
                          </pic:cNvPicPr>
                        </pic:nvPicPr>
                        <pic:blipFill>
                          <a:blip r:embed="rId9"/>
                          <a:stretch>
                            <a:fillRect/>
                          </a:stretch>
                        </pic:blipFill>
                        <pic:spPr>
                          <a:xfrm>
                            <a:off x="0" y="0"/>
                            <a:ext cx="3847465" cy="5532120"/>
                          </a:xfrm>
                          <a:prstGeom prst="rect">
                            <a:avLst/>
                          </a:prstGeom>
                        </pic:spPr>
                      </pic:pic>
                    </a:graphicData>
                  </a:graphic>
                </wp:inline>
              </w:drawing>
            </w:r>
          </w:p>
          <w:p>
            <w:pPr>
              <w:spacing w:line="280" w:lineRule="exact"/>
              <w:textAlignment w:val="baseline"/>
              <w:rPr>
                <w:rFonts w:hint="eastAsia" w:ascii="宋体" w:hAnsi="宋体" w:cs="宋体"/>
                <w:sz w:val="21"/>
                <w:szCs w:val="21"/>
                <w:lang w:val="en-US" w:eastAsia="zh-CN"/>
              </w:rPr>
            </w:pPr>
          </w:p>
          <w:p>
            <w:pPr>
              <w:spacing w:line="280" w:lineRule="exact"/>
              <w:textAlignment w:val="baseline"/>
              <w:rPr>
                <w:rFonts w:hint="eastAsia" w:ascii="宋体" w:hAnsi="宋体" w:cs="宋体"/>
                <w:sz w:val="21"/>
                <w:szCs w:val="21"/>
                <w:lang w:val="en-US" w:eastAsia="zh-CN"/>
              </w:rPr>
            </w:pPr>
          </w:p>
          <w:p>
            <w:pPr>
              <w:spacing w:line="280" w:lineRule="exact"/>
              <w:textAlignment w:val="baseline"/>
              <w:rPr>
                <w:rFonts w:hint="eastAsia" w:ascii="宋体" w:hAnsi="宋体" w:cs="宋体"/>
                <w:sz w:val="21"/>
                <w:szCs w:val="21"/>
                <w:lang w:val="en-US" w:eastAsia="zh-CN"/>
              </w:rPr>
            </w:pPr>
          </w:p>
          <w:p>
            <w:pPr>
              <w:spacing w:line="280" w:lineRule="exact"/>
              <w:textAlignment w:val="baseline"/>
              <w:rPr>
                <w:rFonts w:hint="eastAsia" w:ascii="宋体" w:hAnsi="宋体" w:cs="宋体"/>
                <w:sz w:val="21"/>
                <w:szCs w:val="21"/>
                <w:lang w:val="en-US" w:eastAsia="zh-CN"/>
              </w:rPr>
            </w:pPr>
          </w:p>
          <w:p>
            <w:pPr>
              <w:spacing w:line="280" w:lineRule="exact"/>
              <w:textAlignment w:val="baseline"/>
              <w:rPr>
                <w:rFonts w:hint="eastAsia" w:ascii="宋体" w:hAnsi="宋体" w:cs="宋体"/>
                <w:sz w:val="21"/>
                <w:szCs w:val="21"/>
                <w:lang w:val="en-US" w:eastAsia="zh-CN"/>
              </w:rPr>
            </w:pPr>
          </w:p>
          <w:p>
            <w:pPr>
              <w:spacing w:line="280" w:lineRule="exact"/>
              <w:textAlignment w:val="baseline"/>
              <w:rPr>
                <w:rFonts w:hint="eastAsia" w:ascii="宋体" w:hAnsi="宋体" w:cs="宋体"/>
                <w:sz w:val="21"/>
                <w:szCs w:val="21"/>
                <w:lang w:val="en-US" w:eastAsia="zh-CN"/>
              </w:rPr>
            </w:pPr>
          </w:p>
          <w:p>
            <w:pPr>
              <w:spacing w:line="280" w:lineRule="exact"/>
              <w:textAlignment w:val="baseline"/>
              <w:rPr>
                <w:rFonts w:hint="eastAsia" w:ascii="宋体" w:hAnsi="宋体" w:cs="宋体"/>
                <w:sz w:val="21"/>
                <w:szCs w:val="21"/>
                <w:lang w:val="en-US" w:eastAsia="zh-CN"/>
              </w:rPr>
            </w:pPr>
          </w:p>
          <w:p>
            <w:pPr>
              <w:spacing w:line="280" w:lineRule="exact"/>
              <w:textAlignment w:val="baseline"/>
              <w:rPr>
                <w:rFonts w:hint="eastAsia" w:ascii="宋体" w:hAnsi="宋体" w:cs="宋体"/>
                <w:sz w:val="21"/>
                <w:szCs w:val="21"/>
                <w:lang w:val="en-US" w:eastAsia="zh-CN"/>
              </w:rPr>
            </w:pPr>
          </w:p>
          <w:p>
            <w:pPr>
              <w:spacing w:line="280" w:lineRule="exact"/>
              <w:textAlignment w:val="baseline"/>
              <w:rPr>
                <w:rFonts w:hint="eastAsia" w:ascii="宋体" w:hAnsi="宋体" w:cs="宋体"/>
                <w:sz w:val="21"/>
                <w:szCs w:val="21"/>
                <w:lang w:val="en-US" w:eastAsia="zh-CN"/>
              </w:rPr>
            </w:pPr>
          </w:p>
          <w:p>
            <w:pPr>
              <w:spacing w:line="280" w:lineRule="exact"/>
              <w:textAlignment w:val="baseline"/>
              <w:rPr>
                <w:rFonts w:hint="eastAsia" w:ascii="宋体" w:hAnsi="宋体" w:cs="宋体"/>
                <w:sz w:val="21"/>
                <w:szCs w:val="21"/>
                <w:lang w:val="en-US" w:eastAsia="zh-CN"/>
              </w:rPr>
            </w:pPr>
          </w:p>
          <w:p>
            <w:pPr>
              <w:spacing w:line="280" w:lineRule="exact"/>
              <w:textAlignment w:val="baseline"/>
              <w:rPr>
                <w:rFonts w:hint="eastAsia" w:ascii="宋体" w:hAnsi="宋体" w:cs="宋体"/>
                <w:sz w:val="21"/>
                <w:szCs w:val="21"/>
                <w:lang w:val="en-US" w:eastAsia="zh-CN"/>
              </w:rPr>
            </w:pPr>
            <w:r>
              <w:rPr>
                <w:rFonts w:hint="eastAsia"/>
              </w:rPr>
              <w:drawing>
                <wp:anchor distT="0" distB="0" distL="0" distR="0" simplePos="0" relativeHeight="251664384" behindDoc="0" locked="0" layoutInCell="1" allowOverlap="1">
                  <wp:simplePos x="0" y="0"/>
                  <wp:positionH relativeFrom="column">
                    <wp:posOffset>3562350</wp:posOffset>
                  </wp:positionH>
                  <wp:positionV relativeFrom="paragraph">
                    <wp:posOffset>97155</wp:posOffset>
                  </wp:positionV>
                  <wp:extent cx="1671320" cy="2364740"/>
                  <wp:effectExtent l="0" t="0" r="5080" b="16510"/>
                  <wp:wrapNone/>
                  <wp:docPr id="12" name="图片 13" descr="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descr="001.BMP"/>
                          <pic:cNvPicPr>
                            <a:picLocks noChangeAspect="1"/>
                          </pic:cNvPicPr>
                        </pic:nvPicPr>
                        <pic:blipFill>
                          <a:blip r:embed="rId10" cstate="print"/>
                          <a:stretch>
                            <a:fillRect/>
                          </a:stretch>
                        </pic:blipFill>
                        <pic:spPr>
                          <a:xfrm>
                            <a:off x="0" y="0"/>
                            <a:ext cx="1671320" cy="2364740"/>
                          </a:xfrm>
                          <a:prstGeom prst="rect">
                            <a:avLst/>
                          </a:prstGeom>
                        </pic:spPr>
                      </pic:pic>
                    </a:graphicData>
                  </a:graphic>
                </wp:anchor>
              </w:drawing>
            </w:r>
            <w:r>
              <w:rPr>
                <w:rFonts w:hint="eastAsia"/>
              </w:rPr>
              <w:drawing>
                <wp:anchor distT="0" distB="0" distL="0" distR="0" simplePos="0" relativeHeight="251665408" behindDoc="0" locked="0" layoutInCell="1" allowOverlap="1">
                  <wp:simplePos x="0" y="0"/>
                  <wp:positionH relativeFrom="column">
                    <wp:posOffset>5114925</wp:posOffset>
                  </wp:positionH>
                  <wp:positionV relativeFrom="paragraph">
                    <wp:posOffset>113665</wp:posOffset>
                  </wp:positionV>
                  <wp:extent cx="1789430" cy="2562860"/>
                  <wp:effectExtent l="0" t="0" r="1270" b="8890"/>
                  <wp:wrapNone/>
                  <wp:docPr id="13" name="图片 13" descr="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01.BMP"/>
                          <pic:cNvPicPr>
                            <a:picLocks noChangeAspect="1"/>
                          </pic:cNvPicPr>
                        </pic:nvPicPr>
                        <pic:blipFill>
                          <a:blip r:embed="rId10" cstate="print"/>
                          <a:stretch>
                            <a:fillRect/>
                          </a:stretch>
                        </pic:blipFill>
                        <pic:spPr>
                          <a:xfrm>
                            <a:off x="0" y="0"/>
                            <a:ext cx="1789430" cy="2562860"/>
                          </a:xfrm>
                          <a:prstGeom prst="rect">
                            <a:avLst/>
                          </a:prstGeom>
                        </pic:spPr>
                      </pic:pic>
                    </a:graphicData>
                  </a:graphic>
                </wp:anchor>
              </w:drawing>
            </w:r>
          </w:p>
          <w:p>
            <w:pPr>
              <w:spacing w:line="280" w:lineRule="exact"/>
              <w:textAlignment w:val="baseline"/>
              <w:rPr>
                <w:rFonts w:hint="eastAsia" w:ascii="宋体" w:hAnsi="宋体" w:cs="宋体"/>
                <w:sz w:val="21"/>
                <w:szCs w:val="21"/>
                <w:lang w:val="en-US" w:eastAsia="zh-CN"/>
              </w:rPr>
            </w:pPr>
            <w:r>
              <w:rPr>
                <w:rFonts w:hint="eastAsia" w:ascii="宋体" w:hAnsi="宋体" w:cs="宋体"/>
                <w:sz w:val="21"/>
                <w:szCs w:val="21"/>
                <w:lang w:val="en-US" w:eastAsia="zh-CN"/>
              </w:rPr>
              <w:drawing>
                <wp:anchor distT="0" distB="0" distL="114300" distR="114300" simplePos="0" relativeHeight="251663360" behindDoc="0" locked="0" layoutInCell="1" allowOverlap="1">
                  <wp:simplePos x="0" y="0"/>
                  <wp:positionH relativeFrom="column">
                    <wp:posOffset>2000250</wp:posOffset>
                  </wp:positionH>
                  <wp:positionV relativeFrom="paragraph">
                    <wp:posOffset>85090</wp:posOffset>
                  </wp:positionV>
                  <wp:extent cx="1424305" cy="1913890"/>
                  <wp:effectExtent l="0" t="0" r="4445" b="10160"/>
                  <wp:wrapNone/>
                  <wp:docPr id="8" name="图片 8" descr="扫描全能王 2020-11-30 10.28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0-11-30 10.28_16"/>
                          <pic:cNvPicPr>
                            <a:picLocks noChangeAspect="1"/>
                          </pic:cNvPicPr>
                        </pic:nvPicPr>
                        <pic:blipFill>
                          <a:blip r:embed="rId11"/>
                          <a:stretch>
                            <a:fillRect/>
                          </a:stretch>
                        </pic:blipFill>
                        <pic:spPr>
                          <a:xfrm>
                            <a:off x="0" y="0"/>
                            <a:ext cx="1424305" cy="1913890"/>
                          </a:xfrm>
                          <a:prstGeom prst="rect">
                            <a:avLst/>
                          </a:prstGeom>
                        </pic:spPr>
                      </pic:pic>
                    </a:graphicData>
                  </a:graphic>
                </wp:anchor>
              </w:drawing>
            </w:r>
            <w:r>
              <w:rPr>
                <w:rFonts w:hint="eastAsia" w:ascii="宋体" w:hAnsi="宋体" w:cs="宋体"/>
                <w:sz w:val="21"/>
                <w:szCs w:val="21"/>
                <w:lang w:val="en-US" w:eastAsia="zh-CN"/>
              </w:rPr>
              <w:drawing>
                <wp:anchor distT="0" distB="0" distL="114300" distR="114300" simplePos="0" relativeHeight="251662336" behindDoc="0" locked="0" layoutInCell="1" allowOverlap="1">
                  <wp:simplePos x="0" y="0"/>
                  <wp:positionH relativeFrom="column">
                    <wp:posOffset>350520</wp:posOffset>
                  </wp:positionH>
                  <wp:positionV relativeFrom="paragraph">
                    <wp:posOffset>59690</wp:posOffset>
                  </wp:positionV>
                  <wp:extent cx="1402080" cy="1689100"/>
                  <wp:effectExtent l="0" t="0" r="7620" b="6350"/>
                  <wp:wrapNone/>
                  <wp:docPr id="7" name="图片 7" descr="扫描全能王 2020-11-30 10.28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扫描全能王 2020-11-30 10.28_17"/>
                          <pic:cNvPicPr>
                            <a:picLocks noChangeAspect="1"/>
                          </pic:cNvPicPr>
                        </pic:nvPicPr>
                        <pic:blipFill>
                          <a:blip r:embed="rId9"/>
                          <a:stretch>
                            <a:fillRect/>
                          </a:stretch>
                        </pic:blipFill>
                        <pic:spPr>
                          <a:xfrm>
                            <a:off x="0" y="0"/>
                            <a:ext cx="1402080" cy="1689100"/>
                          </a:xfrm>
                          <a:prstGeom prst="rect">
                            <a:avLst/>
                          </a:prstGeom>
                        </pic:spPr>
                      </pic:pic>
                    </a:graphicData>
                  </a:graphic>
                </wp:anchor>
              </w:drawing>
            </w:r>
          </w:p>
          <w:p>
            <w:pPr>
              <w:spacing w:line="280" w:lineRule="exact"/>
              <w:textAlignment w:val="baseline"/>
              <w:rPr>
                <w:rFonts w:hint="eastAsia" w:ascii="宋体" w:hAnsi="宋体" w:cs="宋体"/>
                <w:sz w:val="21"/>
                <w:szCs w:val="21"/>
                <w:lang w:val="en-US" w:eastAsia="zh-CN"/>
              </w:rPr>
            </w:pPr>
          </w:p>
          <w:p>
            <w:pPr>
              <w:spacing w:line="280" w:lineRule="exact"/>
              <w:textAlignment w:val="baseline"/>
              <w:rPr>
                <w:rFonts w:hint="eastAsia" w:ascii="宋体" w:hAnsi="宋体" w:cs="宋体"/>
                <w:sz w:val="21"/>
                <w:szCs w:val="21"/>
                <w:lang w:val="en-US" w:eastAsia="zh-CN"/>
              </w:rPr>
            </w:pPr>
          </w:p>
          <w:p>
            <w:pPr>
              <w:spacing w:line="280" w:lineRule="exact"/>
              <w:textAlignment w:val="baseline"/>
              <w:rPr>
                <w:rFonts w:hint="eastAsia" w:ascii="宋体" w:hAnsi="宋体" w:cs="宋体"/>
                <w:sz w:val="21"/>
                <w:szCs w:val="21"/>
                <w:lang w:val="en-US" w:eastAsia="zh-CN"/>
              </w:rPr>
            </w:pPr>
          </w:p>
          <w:p>
            <w:pPr>
              <w:spacing w:line="280" w:lineRule="exact"/>
              <w:textAlignment w:val="baseline"/>
              <w:rPr>
                <w:rFonts w:hint="eastAsia" w:ascii="宋体" w:hAnsi="宋体" w:cs="宋体"/>
                <w:sz w:val="21"/>
                <w:szCs w:val="21"/>
                <w:lang w:val="en-US" w:eastAsia="zh-CN"/>
              </w:rPr>
            </w:pPr>
          </w:p>
          <w:p>
            <w:pPr>
              <w:spacing w:line="280" w:lineRule="exact"/>
              <w:textAlignment w:val="baseline"/>
              <w:rPr>
                <w:rFonts w:hint="eastAsia" w:ascii="宋体" w:hAnsi="宋体" w:cs="宋体"/>
                <w:sz w:val="21"/>
                <w:szCs w:val="21"/>
                <w:lang w:val="en-US" w:eastAsia="zh-CN"/>
              </w:rPr>
            </w:pPr>
          </w:p>
          <w:p>
            <w:pPr>
              <w:spacing w:line="280" w:lineRule="exact"/>
              <w:textAlignment w:val="baseline"/>
              <w:rPr>
                <w:rFonts w:hint="eastAsia" w:ascii="宋体" w:hAnsi="宋体" w:cs="宋体"/>
                <w:sz w:val="21"/>
                <w:szCs w:val="21"/>
                <w:lang w:val="en-US" w:eastAsia="zh-CN"/>
              </w:rPr>
            </w:pPr>
            <w:r>
              <w:rPr>
                <w:rFonts w:hint="eastAsia"/>
              </w:rPr>
              <w:drawing>
                <wp:inline distT="0" distB="0" distL="0" distR="0">
                  <wp:extent cx="5274310" cy="7459980"/>
                  <wp:effectExtent l="0" t="0" r="2540" b="7620"/>
                  <wp:docPr id="11" name="图片 13" descr="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descr="001.BMP"/>
                          <pic:cNvPicPr>
                            <a:picLocks noChangeAspect="1"/>
                          </pic:cNvPicPr>
                        </pic:nvPicPr>
                        <pic:blipFill>
                          <a:blip r:embed="rId10" cstate="print"/>
                          <a:stretch>
                            <a:fillRect/>
                          </a:stretch>
                        </pic:blipFill>
                        <pic:spPr>
                          <a:xfrm>
                            <a:off x="0" y="0"/>
                            <a:ext cx="5274310" cy="7459980"/>
                          </a:xfrm>
                          <a:prstGeom prst="rect">
                            <a:avLst/>
                          </a:prstGeom>
                        </pic:spPr>
                      </pic:pic>
                    </a:graphicData>
                  </a:graphic>
                </wp:inline>
              </w:drawing>
            </w:r>
          </w:p>
          <w:p>
            <w:pPr>
              <w:spacing w:line="280" w:lineRule="exact"/>
              <w:textAlignment w:val="baseline"/>
              <w:rPr>
                <w:rFonts w:hint="eastAsia" w:ascii="宋体" w:hAnsi="宋体" w:cs="宋体"/>
                <w:sz w:val="21"/>
                <w:szCs w:val="21"/>
                <w:lang w:val="en-US" w:eastAsia="zh-CN"/>
              </w:rPr>
            </w:pPr>
          </w:p>
          <w:p>
            <w:pPr>
              <w:spacing w:line="280" w:lineRule="exact"/>
              <w:textAlignment w:val="baseline"/>
              <w:rPr>
                <w:rFonts w:hint="eastAsia" w:ascii="宋体" w:hAnsi="宋体" w:cs="宋体"/>
                <w:sz w:val="21"/>
                <w:szCs w:val="21"/>
                <w:lang w:val="en-US" w:eastAsia="zh-CN"/>
              </w:rPr>
            </w:pPr>
          </w:p>
          <w:p>
            <w:pPr>
              <w:spacing w:line="280" w:lineRule="exact"/>
              <w:textAlignment w:val="baseline"/>
              <w:rPr>
                <w:rFonts w:hint="eastAsia" w:ascii="宋体" w:hAnsi="宋体" w:cs="宋体"/>
                <w:sz w:val="21"/>
                <w:szCs w:val="21"/>
                <w:lang w:val="en-US" w:eastAsia="zh-CN"/>
              </w:rPr>
            </w:pPr>
          </w:p>
          <w:p>
            <w:pPr>
              <w:spacing w:line="280" w:lineRule="exact"/>
              <w:textAlignment w:val="baseline"/>
              <w:rPr>
                <w:rFonts w:hint="eastAsia" w:ascii="宋体" w:hAnsi="宋体" w:cs="宋体"/>
                <w:sz w:val="21"/>
                <w:szCs w:val="21"/>
                <w:lang w:val="en-US" w:eastAsia="zh-CN"/>
              </w:rPr>
            </w:pPr>
          </w:p>
          <w:p>
            <w:pPr>
              <w:spacing w:line="280" w:lineRule="exact"/>
              <w:textAlignment w:val="baseline"/>
              <w:rPr>
                <w:rFonts w:hint="eastAsia" w:ascii="宋体" w:hAnsi="宋体" w:cs="宋体"/>
                <w:sz w:val="21"/>
                <w:szCs w:val="21"/>
                <w:lang w:val="en-US" w:eastAsia="zh-CN"/>
              </w:rPr>
            </w:pPr>
          </w:p>
          <w:p>
            <w:pPr>
              <w:spacing w:line="280" w:lineRule="exact"/>
              <w:textAlignment w:val="baseline"/>
              <w:rPr>
                <w:rFonts w:hint="eastAsia" w:ascii="宋体" w:hAnsi="宋体" w:cs="宋体"/>
                <w:sz w:val="21"/>
                <w:szCs w:val="21"/>
                <w:lang w:val="en-US" w:eastAsia="zh-CN"/>
              </w:rPr>
            </w:pPr>
          </w:p>
          <w:p>
            <w:pPr>
              <w:spacing w:line="280" w:lineRule="exact"/>
              <w:textAlignment w:val="baseline"/>
              <w:rPr>
                <w:rFonts w:hint="eastAsia" w:ascii="宋体" w:hAnsi="宋体" w:cs="宋体"/>
                <w:sz w:val="21"/>
                <w:szCs w:val="21"/>
                <w:lang w:val="en-US" w:eastAsia="zh-CN"/>
              </w:rPr>
            </w:pPr>
          </w:p>
          <w:p>
            <w:pPr>
              <w:spacing w:line="280" w:lineRule="exact"/>
              <w:textAlignment w:val="baseline"/>
              <w:rPr>
                <w:rFonts w:hint="default" w:ascii="宋体" w:hAnsi="宋体" w:cs="宋体"/>
                <w:sz w:val="21"/>
                <w:szCs w:val="21"/>
                <w:lang w:val="en-US" w:eastAsia="zh-CN"/>
              </w:rPr>
            </w:pPr>
            <w:r>
              <w:rPr>
                <w:rFonts w:hint="eastAsia" w:ascii="宋体" w:hAnsi="宋体" w:cs="宋体"/>
                <w:sz w:val="21"/>
                <w:szCs w:val="21"/>
                <w:lang w:val="en-US" w:eastAsia="zh-CN"/>
              </w:rPr>
              <w:t>其他检验是见附件，包括产品10KV高压开关柜、分支箱、变压器、低压抽出式开关设备、箱式变电站、低压无功补偿装置例行检验记录（P2 63A）。产品确认检验记录（P2 63A）检验日期 2019年。12.18检验人：崔浩东  公司产品通过强制性产品认证查看产品认证试验报告  符合要求  见附件    结论：合格。未见不符合。</w:t>
            </w:r>
          </w:p>
        </w:tc>
        <w:tc>
          <w:tcPr>
            <w:tcW w:w="0" w:type="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0" w:type="auto"/>
            <w:vAlign w:val="center"/>
          </w:tcPr>
          <w:p>
            <w:pPr>
              <w:spacing w:line="280" w:lineRule="exact"/>
              <w:rPr>
                <w:rFonts w:hint="eastAsia" w:ascii="宋体" w:hAnsi="宋体" w:cs="宋体"/>
                <w:sz w:val="21"/>
                <w:szCs w:val="21"/>
              </w:rPr>
            </w:pPr>
            <w:r>
              <w:rPr>
                <w:rFonts w:hint="eastAsia" w:ascii="宋体" w:hAnsi="宋体" w:cs="宋体"/>
                <w:sz w:val="21"/>
                <w:szCs w:val="21"/>
              </w:rPr>
              <w:t>不合格输出的控制</w:t>
            </w:r>
          </w:p>
          <w:p>
            <w:pPr>
              <w:spacing w:line="280" w:lineRule="exact"/>
              <w:rPr>
                <w:rFonts w:hint="eastAsia" w:ascii="宋体" w:hAnsi="宋体" w:eastAsia="宋体" w:cs="宋体"/>
                <w:kern w:val="2"/>
                <w:sz w:val="21"/>
                <w:szCs w:val="21"/>
                <w:lang w:val="en-US" w:eastAsia="zh-CN" w:bidi="ar-SA"/>
              </w:rPr>
            </w:pPr>
          </w:p>
        </w:tc>
        <w:tc>
          <w:tcPr>
            <w:tcW w:w="0" w:type="auto"/>
            <w:vAlign w:val="center"/>
          </w:tcPr>
          <w:p>
            <w:pPr>
              <w:spacing w:line="280" w:lineRule="exact"/>
              <w:rPr>
                <w:rFonts w:hint="eastAsia" w:ascii="宋体" w:hAnsi="宋体" w:cs="宋体"/>
                <w:sz w:val="21"/>
                <w:szCs w:val="21"/>
              </w:rPr>
            </w:pPr>
            <w:r>
              <w:rPr>
                <w:rFonts w:hint="eastAsia" w:ascii="宋体" w:hAnsi="宋体" w:cs="宋体"/>
                <w:sz w:val="21"/>
                <w:szCs w:val="21"/>
              </w:rPr>
              <w:t>Q8.7</w:t>
            </w:r>
          </w:p>
          <w:p>
            <w:pPr>
              <w:spacing w:line="280" w:lineRule="exact"/>
              <w:rPr>
                <w:rFonts w:hint="eastAsia" w:ascii="宋体" w:hAnsi="宋体" w:eastAsia="宋体" w:cs="宋体"/>
                <w:color w:val="000000"/>
                <w:kern w:val="2"/>
                <w:sz w:val="21"/>
                <w:szCs w:val="21"/>
                <w:lang w:val="en-US" w:eastAsia="zh-CN" w:bidi="ar-SA"/>
              </w:rPr>
            </w:pPr>
          </w:p>
        </w:tc>
        <w:tc>
          <w:tcPr>
            <w:tcW w:w="0" w:type="auto"/>
            <w:vAlign w:val="top"/>
          </w:tcPr>
          <w:p>
            <w:pPr>
              <w:spacing w:line="280" w:lineRule="exact"/>
              <w:ind w:firstLine="480"/>
              <w:rPr>
                <w:rFonts w:hint="eastAsia" w:ascii="宋体" w:hAnsi="宋体" w:cs="宋体"/>
                <w:sz w:val="21"/>
                <w:szCs w:val="21"/>
              </w:rPr>
            </w:pPr>
            <w:r>
              <w:rPr>
                <w:rFonts w:hint="eastAsia" w:ascii="宋体" w:hAnsi="宋体" w:cs="宋体"/>
                <w:sz w:val="21"/>
                <w:szCs w:val="21"/>
              </w:rPr>
              <w:t>公司编制并实施《不合格品控制程序》，采购产品不合格做退换货处理，销售产品不合格（顾客不满意）做调试或换货，顾客投诉，立即由综合部进行处理。</w:t>
            </w:r>
          </w:p>
          <w:p>
            <w:pPr>
              <w:spacing w:line="280" w:lineRule="exact"/>
              <w:ind w:firstLine="480" w:firstLineChars="0"/>
              <w:rPr>
                <w:rFonts w:hint="eastAsia" w:ascii="宋体" w:hAnsi="宋体" w:eastAsia="宋体" w:cs="宋体"/>
                <w:kern w:val="2"/>
                <w:sz w:val="21"/>
                <w:szCs w:val="21"/>
                <w:lang w:val="en-US" w:eastAsia="zh-CN" w:bidi="ar-SA"/>
              </w:rPr>
            </w:pPr>
            <w:r>
              <w:rPr>
                <w:rFonts w:hint="eastAsia" w:ascii="宋体" w:hAnsi="宋体" w:cs="宋体"/>
                <w:sz w:val="21"/>
                <w:szCs w:val="21"/>
              </w:rPr>
              <w:t>公司生产同期短，目前无产品不合格及客户退换货和投诉。</w:t>
            </w:r>
          </w:p>
        </w:tc>
        <w:tc>
          <w:tcPr>
            <w:tcW w:w="0" w:type="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0" w:type="auto"/>
            <w:vAlign w:val="center"/>
          </w:tcPr>
          <w:p>
            <w:pPr>
              <w:spacing w:line="280" w:lineRule="exact"/>
              <w:rPr>
                <w:rFonts w:hint="eastAsia" w:ascii="宋体" w:hAnsi="宋体" w:eastAsia="宋体" w:cs="宋体"/>
                <w:kern w:val="2"/>
                <w:sz w:val="21"/>
                <w:szCs w:val="21"/>
                <w:lang w:val="en-US" w:eastAsia="zh-CN" w:bidi="ar-SA"/>
              </w:rPr>
            </w:pPr>
            <w:r>
              <w:rPr>
                <w:rFonts w:hint="eastAsia" w:ascii="宋体" w:hAnsi="宋体" w:cs="宋体"/>
                <w:sz w:val="21"/>
                <w:szCs w:val="21"/>
              </w:rPr>
              <w:t>环境因素与危险源</w:t>
            </w:r>
          </w:p>
        </w:tc>
        <w:tc>
          <w:tcPr>
            <w:tcW w:w="0" w:type="auto"/>
            <w:vAlign w:val="center"/>
          </w:tcPr>
          <w:p>
            <w:pPr>
              <w:spacing w:line="280" w:lineRule="exact"/>
              <w:rPr>
                <w:rFonts w:hint="eastAsia" w:ascii="宋体" w:hAnsi="宋体" w:cs="宋体"/>
                <w:color w:val="000000"/>
                <w:sz w:val="21"/>
                <w:szCs w:val="21"/>
              </w:rPr>
            </w:pPr>
            <w:r>
              <w:rPr>
                <w:rFonts w:hint="eastAsia" w:ascii="宋体" w:hAnsi="宋体" w:cs="宋体"/>
                <w:color w:val="000000"/>
                <w:sz w:val="21"/>
                <w:szCs w:val="21"/>
              </w:rPr>
              <w:t>E</w:t>
            </w:r>
            <w:r>
              <w:rPr>
                <w:rFonts w:hint="eastAsia" w:ascii="宋体" w:hAnsi="宋体" w:cs="宋体"/>
                <w:color w:val="000000"/>
                <w:sz w:val="21"/>
                <w:szCs w:val="21"/>
                <w:lang w:val="en-US" w:eastAsia="zh-CN"/>
              </w:rPr>
              <w:t>O</w:t>
            </w:r>
            <w:r>
              <w:rPr>
                <w:rFonts w:hint="eastAsia" w:ascii="宋体" w:hAnsi="宋体" w:cs="宋体"/>
                <w:color w:val="000000"/>
                <w:sz w:val="21"/>
                <w:szCs w:val="21"/>
              </w:rPr>
              <w:t>6.1.2</w:t>
            </w:r>
          </w:p>
          <w:p>
            <w:pPr>
              <w:spacing w:line="280" w:lineRule="exact"/>
              <w:rPr>
                <w:rFonts w:hint="eastAsia" w:ascii="宋体" w:hAnsi="宋体" w:eastAsia="宋体" w:cs="宋体"/>
                <w:color w:val="000000"/>
                <w:kern w:val="2"/>
                <w:sz w:val="21"/>
                <w:szCs w:val="21"/>
                <w:lang w:val="en-US" w:eastAsia="zh-CN" w:bidi="ar-SA"/>
              </w:rPr>
            </w:pPr>
          </w:p>
        </w:tc>
        <w:tc>
          <w:tcPr>
            <w:tcW w:w="0" w:type="auto"/>
            <w:vAlign w:val="top"/>
          </w:tcPr>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提供：环境因素识别与评价表</w:t>
            </w:r>
          </w:p>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内容有：活动名称、环境因素、影响范围、影响程度、发生频次、是否重要环境因素等。</w:t>
            </w:r>
          </w:p>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按照生产活动识别的环境因素有：电能消耗、噪声排放、水电油料能源消耗、固体废物、车辆废气排放等。</w:t>
            </w:r>
          </w:p>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采用打分评价法进行了评价，经识别评价，涉及本部门的重要环境因素有火灾。</w:t>
            </w:r>
          </w:p>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提供：危险因素辨识与评价登记表</w:t>
            </w:r>
          </w:p>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内容有：作业活动、危险因素、可能导致的事故、作业条件危险评价、危险级别、现有控制措施等。</w:t>
            </w:r>
          </w:p>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识别的危险源有：使用不合格电源箱可能导致的火灾，电源、插座没有漏保或失灵、固定电源线使用裸露金属替代、外壳未接地或失效、漏电可能导致的的触电，操作可能导致的人身伤害等。采用LEC法进行了评价，评价出的重大危险源有意外伤害。</w:t>
            </w:r>
          </w:p>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提供：重大危险源清单。</w:t>
            </w:r>
          </w:p>
          <w:p>
            <w:pPr>
              <w:spacing w:line="280" w:lineRule="exact"/>
              <w:ind w:firstLine="480" w:firstLineChars="0"/>
              <w:rPr>
                <w:rFonts w:hint="eastAsia" w:ascii="宋体" w:hAnsi="宋体" w:eastAsia="宋体" w:cs="宋体"/>
                <w:kern w:val="2"/>
                <w:sz w:val="21"/>
                <w:szCs w:val="21"/>
                <w:lang w:val="en-US" w:eastAsia="zh-CN" w:bidi="ar-SA"/>
              </w:rPr>
            </w:pPr>
            <w:r>
              <w:rPr>
                <w:rFonts w:hint="eastAsia" w:ascii="宋体" w:hAnsi="宋体" w:cs="宋体"/>
                <w:color w:val="000000"/>
                <w:sz w:val="21"/>
                <w:szCs w:val="21"/>
              </w:rPr>
              <w:t>环境和职业健康安全因素识别和评价控制符合要求。</w:t>
            </w:r>
          </w:p>
        </w:tc>
        <w:tc>
          <w:tcPr>
            <w:tcW w:w="0" w:type="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0" w:type="auto"/>
            <w:vAlign w:val="center"/>
          </w:tcPr>
          <w:p>
            <w:pPr>
              <w:spacing w:line="280" w:lineRule="exact"/>
              <w:rPr>
                <w:rFonts w:hint="eastAsia" w:ascii="宋体" w:hAnsi="宋体" w:eastAsia="宋体" w:cs="宋体"/>
                <w:kern w:val="2"/>
                <w:sz w:val="21"/>
                <w:szCs w:val="21"/>
                <w:lang w:val="en-US" w:eastAsia="zh-CN" w:bidi="ar-SA"/>
              </w:rPr>
            </w:pPr>
            <w:r>
              <w:rPr>
                <w:rFonts w:hint="eastAsia" w:ascii="宋体" w:hAnsi="宋体" w:cs="宋体"/>
                <w:color w:val="000000"/>
                <w:sz w:val="21"/>
                <w:szCs w:val="21"/>
              </w:rPr>
              <w:t>运行控制</w:t>
            </w:r>
          </w:p>
        </w:tc>
        <w:tc>
          <w:tcPr>
            <w:tcW w:w="0" w:type="auto"/>
            <w:vAlign w:val="center"/>
          </w:tcPr>
          <w:p>
            <w:pPr>
              <w:spacing w:line="280" w:lineRule="exact"/>
              <w:rPr>
                <w:rFonts w:hint="eastAsia" w:ascii="宋体" w:hAnsi="宋体" w:cs="宋体"/>
                <w:color w:val="000000"/>
                <w:sz w:val="21"/>
                <w:szCs w:val="21"/>
              </w:rPr>
            </w:pPr>
            <w:r>
              <w:rPr>
                <w:rFonts w:hint="eastAsia" w:ascii="宋体" w:hAnsi="宋体" w:cs="宋体"/>
                <w:color w:val="000000"/>
                <w:sz w:val="21"/>
                <w:szCs w:val="21"/>
              </w:rPr>
              <w:t>E</w:t>
            </w:r>
            <w:r>
              <w:rPr>
                <w:rFonts w:hint="eastAsia" w:ascii="宋体" w:hAnsi="宋体" w:cs="宋体"/>
                <w:color w:val="000000"/>
                <w:sz w:val="21"/>
                <w:szCs w:val="21"/>
                <w:lang w:val="en-US" w:eastAsia="zh-CN"/>
              </w:rPr>
              <w:t>O</w:t>
            </w:r>
            <w:r>
              <w:rPr>
                <w:rFonts w:hint="eastAsia" w:ascii="宋体" w:hAnsi="宋体" w:cs="宋体"/>
                <w:color w:val="000000"/>
                <w:sz w:val="21"/>
                <w:szCs w:val="21"/>
              </w:rPr>
              <w:t>8.1</w:t>
            </w:r>
          </w:p>
          <w:p>
            <w:pPr>
              <w:spacing w:line="280" w:lineRule="exact"/>
              <w:rPr>
                <w:rFonts w:hint="eastAsia" w:ascii="宋体" w:hAnsi="宋体" w:eastAsia="宋体" w:cs="宋体"/>
                <w:color w:val="000000"/>
                <w:kern w:val="2"/>
                <w:sz w:val="21"/>
                <w:szCs w:val="21"/>
                <w:lang w:val="en-US" w:eastAsia="zh-CN" w:bidi="ar-SA"/>
              </w:rPr>
            </w:pPr>
          </w:p>
        </w:tc>
        <w:tc>
          <w:tcPr>
            <w:tcW w:w="0" w:type="auto"/>
            <w:vAlign w:val="center"/>
          </w:tcPr>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现场检查：</w:t>
            </w:r>
          </w:p>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办公区设有垃圾桶，定期放置到指定地点，由政府环卫统一收集处理。生产废弃物找有资质的单位集中处理，办公活动产生的墨盒等废物，固定地方存放由公司安环部负责回收。水电的消耗，要求各部门人员提高节约意识，做到人走灯灭水关，现场未发现常流水和无人灯亮的情况。</w:t>
            </w:r>
          </w:p>
          <w:p>
            <w:pPr>
              <w:adjustRightInd w:val="0"/>
              <w:snapToGrid w:val="0"/>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生活废水排放：生活废水排入政府污水管道统一处理。</w:t>
            </w:r>
          </w:p>
          <w:p>
            <w:pPr>
              <w:adjustRightInd w:val="0"/>
              <w:snapToGrid w:val="0"/>
              <w:spacing w:line="280" w:lineRule="exact"/>
              <w:ind w:firstLine="420" w:firstLineChars="200"/>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提供了废气检验报告、噪声监测报告。环评报告（附后）。</w:t>
            </w:r>
          </w:p>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对在产品运输和采购销售过程及上下班使用的车辆加强对车辆维护保养，减少废气排放和油料消耗。</w:t>
            </w:r>
          </w:p>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生产现场有</w:t>
            </w:r>
            <w:r>
              <w:rPr>
                <w:rFonts w:hint="eastAsia" w:ascii="宋体" w:hAnsi="宋体" w:cs="宋体"/>
                <w:b/>
                <w:color w:val="000000"/>
                <w:sz w:val="21"/>
                <w:szCs w:val="21"/>
              </w:rPr>
              <w:t>灭火器12个</w:t>
            </w:r>
            <w:r>
              <w:rPr>
                <w:rFonts w:hint="eastAsia" w:ascii="宋体" w:hAnsi="宋体" w:cs="宋体"/>
                <w:color w:val="000000"/>
                <w:sz w:val="21"/>
                <w:szCs w:val="21"/>
              </w:rPr>
              <w:t>，完好有效。消防栓</w:t>
            </w:r>
            <w:r>
              <w:rPr>
                <w:rFonts w:hint="eastAsia" w:ascii="宋体" w:hAnsi="宋体" w:cs="宋体"/>
                <w:color w:val="000000"/>
                <w:sz w:val="21"/>
                <w:szCs w:val="21"/>
                <w:lang w:val="en-US" w:eastAsia="zh-CN"/>
              </w:rPr>
              <w:t>共</w:t>
            </w:r>
            <w:r>
              <w:rPr>
                <w:rFonts w:hint="eastAsia" w:ascii="宋体" w:hAnsi="宋体" w:cs="宋体"/>
                <w:color w:val="000000"/>
                <w:sz w:val="21"/>
                <w:szCs w:val="21"/>
              </w:rPr>
              <w:t>4个符合要求。</w:t>
            </w:r>
          </w:p>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防触电主要采取每半年检查电线老化，同时加强日常电线老化的观察；加强安全用电教育，防止人为触电。</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查到：《劳保防护用品发放登记表》，已按照规定要求按期为生产人员发放劳动防护用品，安全防护用品，包括绝缘手套、绝缘鞋、工作服、口罩等，建立了相应的记录，符合。</w:t>
            </w:r>
          </w:p>
          <w:p>
            <w:pPr>
              <w:spacing w:line="28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员工每年一次体检，体检时间12月初，松山区第六医院，查体检记录，未见不符。</w:t>
            </w:r>
          </w:p>
          <w:p>
            <w:pPr>
              <w:snapToGrid w:val="0"/>
              <w:spacing w:line="360" w:lineRule="auto"/>
              <w:ind w:firstLine="420" w:firstLineChars="200"/>
              <w:rPr>
                <w:rFonts w:hint="eastAsia" w:ascii="宋体" w:hAnsi="宋体" w:cs="宋体"/>
                <w:sz w:val="21"/>
                <w:szCs w:val="21"/>
              </w:rPr>
            </w:pPr>
            <w:r>
              <w:rPr>
                <w:rFonts w:hint="eastAsia" w:ascii="宋体" w:hAnsi="宋体" w:cs="宋体"/>
                <w:sz w:val="21"/>
                <w:szCs w:val="21"/>
              </w:rPr>
              <w:t>经询查，一年来公司未发生安全事故，未受到安监部门、环保部门的处罚或警告。</w:t>
            </w:r>
          </w:p>
          <w:p>
            <w:pPr>
              <w:snapToGrid w:val="0"/>
              <w:spacing w:line="360" w:lineRule="auto"/>
              <w:ind w:firstLine="420" w:firstLineChars="200"/>
              <w:rPr>
                <w:rFonts w:hint="eastAsia" w:ascii="宋体" w:hAnsi="宋体" w:cs="宋体"/>
                <w:b w:val="0"/>
                <w:bCs/>
                <w:sz w:val="21"/>
                <w:szCs w:val="21"/>
              </w:rPr>
            </w:pPr>
            <w:r>
              <w:rPr>
                <w:rFonts w:hint="eastAsia" w:ascii="宋体" w:hAnsi="宋体" w:cs="宋体"/>
                <w:b w:val="0"/>
                <w:bCs/>
                <w:sz w:val="21"/>
                <w:szCs w:val="21"/>
              </w:rPr>
              <w:t>现场</w:t>
            </w:r>
            <w:r>
              <w:rPr>
                <w:rFonts w:hint="eastAsia" w:ascii="宋体" w:hAnsi="宋体" w:cs="宋体"/>
                <w:b w:val="0"/>
                <w:bCs/>
                <w:sz w:val="21"/>
                <w:szCs w:val="21"/>
                <w:lang w:val="en-US" w:eastAsia="zh-CN"/>
              </w:rPr>
              <w:t>提供疫情期间的</w:t>
            </w:r>
            <w:r>
              <w:rPr>
                <w:rFonts w:hint="eastAsia" w:ascii="宋体" w:hAnsi="宋体" w:cs="宋体"/>
                <w:b w:val="0"/>
                <w:bCs/>
                <w:sz w:val="21"/>
                <w:szCs w:val="21"/>
              </w:rPr>
              <w:t>查到</w:t>
            </w:r>
            <w:r>
              <w:rPr>
                <w:rFonts w:hint="eastAsia" w:ascii="宋体" w:hAnsi="宋体" w:cs="宋体"/>
                <w:b w:val="0"/>
                <w:bCs/>
                <w:sz w:val="21"/>
                <w:szCs w:val="21"/>
                <w:lang w:val="en-US" w:eastAsia="zh-CN"/>
              </w:rPr>
              <w:t xml:space="preserve">清洗液、来客登记表。体温测试仪 </w:t>
            </w:r>
            <w:r>
              <w:rPr>
                <w:rFonts w:hint="eastAsia" w:ascii="宋体" w:hAnsi="宋体" w:cs="宋体"/>
                <w:b w:val="0"/>
                <w:bCs/>
                <w:sz w:val="21"/>
                <w:szCs w:val="21"/>
              </w:rPr>
              <w:t>应急药包或应急药箱，</w:t>
            </w:r>
            <w:r>
              <w:rPr>
                <w:rFonts w:hint="eastAsia" w:ascii="宋体" w:hAnsi="宋体" w:cs="宋体"/>
                <w:b w:val="0"/>
                <w:bCs/>
                <w:sz w:val="21"/>
                <w:szCs w:val="21"/>
                <w:lang w:val="en-US" w:eastAsia="zh-CN"/>
              </w:rPr>
              <w:t>未见</w:t>
            </w:r>
            <w:r>
              <w:rPr>
                <w:rFonts w:hint="eastAsia" w:ascii="宋体" w:hAnsi="宋体" w:cs="宋体"/>
                <w:b w:val="0"/>
                <w:bCs/>
                <w:sz w:val="21"/>
                <w:szCs w:val="21"/>
              </w:rPr>
              <w:t>不符合。</w:t>
            </w:r>
          </w:p>
          <w:p>
            <w:pPr>
              <w:snapToGrid w:val="0"/>
              <w:spacing w:line="360" w:lineRule="auto"/>
              <w:ind w:firstLine="420" w:firstLineChars="200"/>
              <w:rPr>
                <w:rFonts w:hint="eastAsia" w:ascii="宋体" w:hAnsi="宋体" w:eastAsia="宋体" w:cs="宋体"/>
                <w:b w:val="0"/>
                <w:bCs/>
                <w:sz w:val="21"/>
                <w:szCs w:val="21"/>
                <w:lang w:val="en-US" w:eastAsia="zh-CN"/>
              </w:rPr>
            </w:pPr>
            <w:r>
              <w:drawing>
                <wp:inline distT="0" distB="0" distL="114300" distR="114300">
                  <wp:extent cx="1068705" cy="1550670"/>
                  <wp:effectExtent l="0" t="0" r="17145" b="1143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2"/>
                          <a:stretch>
                            <a:fillRect/>
                          </a:stretch>
                        </pic:blipFill>
                        <pic:spPr>
                          <a:xfrm>
                            <a:off x="0" y="0"/>
                            <a:ext cx="1068705" cy="1550670"/>
                          </a:xfrm>
                          <a:prstGeom prst="rect">
                            <a:avLst/>
                          </a:prstGeom>
                          <a:noFill/>
                          <a:ln>
                            <a:noFill/>
                          </a:ln>
                        </pic:spPr>
                      </pic:pic>
                    </a:graphicData>
                  </a:graphic>
                </wp:inline>
              </w:drawing>
            </w:r>
            <w:r>
              <w:rPr>
                <w:rFonts w:hint="eastAsia" w:ascii="宋体" w:hAnsi="宋体" w:eastAsia="宋体" w:cs="宋体"/>
                <w:b w:val="0"/>
                <w:bCs/>
                <w:sz w:val="21"/>
                <w:szCs w:val="21"/>
                <w:lang w:val="en-US" w:eastAsia="zh-CN"/>
              </w:rPr>
              <w:drawing>
                <wp:inline distT="0" distB="0" distL="114300" distR="114300">
                  <wp:extent cx="1311910" cy="1425575"/>
                  <wp:effectExtent l="0" t="0" r="2540" b="3175"/>
                  <wp:docPr id="15" name="图片 15" descr="验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验收"/>
                          <pic:cNvPicPr>
                            <a:picLocks noChangeAspect="1"/>
                          </pic:cNvPicPr>
                        </pic:nvPicPr>
                        <pic:blipFill>
                          <a:blip r:embed="rId13"/>
                          <a:stretch>
                            <a:fillRect/>
                          </a:stretch>
                        </pic:blipFill>
                        <pic:spPr>
                          <a:xfrm>
                            <a:off x="0" y="0"/>
                            <a:ext cx="1311910" cy="1425575"/>
                          </a:xfrm>
                          <a:prstGeom prst="rect">
                            <a:avLst/>
                          </a:prstGeom>
                        </pic:spPr>
                      </pic:pic>
                    </a:graphicData>
                  </a:graphic>
                </wp:inline>
              </w:drawing>
            </w:r>
            <w:r>
              <w:rPr>
                <w:rFonts w:hint="eastAsia" w:ascii="宋体" w:hAnsi="宋体" w:eastAsia="宋体" w:cs="宋体"/>
                <w:b w:val="0"/>
                <w:bCs/>
                <w:sz w:val="21"/>
                <w:szCs w:val="21"/>
                <w:lang w:val="en-US" w:eastAsia="zh-CN"/>
              </w:rPr>
              <w:drawing>
                <wp:inline distT="0" distB="0" distL="114300" distR="114300">
                  <wp:extent cx="1584960" cy="1621155"/>
                  <wp:effectExtent l="0" t="0" r="15240" b="17145"/>
                  <wp:docPr id="16" name="图片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
                          <pic:cNvPicPr>
                            <a:picLocks noChangeAspect="1"/>
                          </pic:cNvPicPr>
                        </pic:nvPicPr>
                        <pic:blipFill>
                          <a:blip r:embed="rId14"/>
                          <a:stretch>
                            <a:fillRect/>
                          </a:stretch>
                        </pic:blipFill>
                        <pic:spPr>
                          <a:xfrm>
                            <a:off x="0" y="0"/>
                            <a:ext cx="1584960" cy="1621155"/>
                          </a:xfrm>
                          <a:prstGeom prst="rect">
                            <a:avLst/>
                          </a:prstGeom>
                        </pic:spPr>
                      </pic:pic>
                    </a:graphicData>
                  </a:graphic>
                </wp:inline>
              </w:drawing>
            </w:r>
          </w:p>
        </w:tc>
        <w:tc>
          <w:tcPr>
            <w:tcW w:w="0" w:type="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0" w:type="auto"/>
            <w:vAlign w:val="center"/>
          </w:tcPr>
          <w:p>
            <w:pPr>
              <w:spacing w:line="280" w:lineRule="exact"/>
              <w:rPr>
                <w:rFonts w:hint="eastAsia" w:ascii="宋体" w:hAnsi="宋体" w:eastAsia="宋体" w:cs="宋体"/>
                <w:kern w:val="2"/>
                <w:sz w:val="21"/>
                <w:szCs w:val="21"/>
                <w:lang w:val="en-US" w:eastAsia="zh-CN" w:bidi="ar-SA"/>
              </w:rPr>
            </w:pPr>
            <w:r>
              <w:rPr>
                <w:rFonts w:hint="eastAsia" w:ascii="宋体" w:hAnsi="宋体" w:cs="宋体"/>
                <w:color w:val="000000"/>
                <w:sz w:val="21"/>
                <w:szCs w:val="21"/>
              </w:rPr>
              <w:t>应急准备和响应</w:t>
            </w:r>
          </w:p>
        </w:tc>
        <w:tc>
          <w:tcPr>
            <w:tcW w:w="0" w:type="auto"/>
            <w:vAlign w:val="center"/>
          </w:tcPr>
          <w:p>
            <w:pPr>
              <w:spacing w:line="280" w:lineRule="exact"/>
              <w:rPr>
                <w:rFonts w:hint="eastAsia" w:ascii="宋体" w:hAnsi="宋体" w:cs="宋体"/>
                <w:color w:val="000000"/>
                <w:sz w:val="21"/>
                <w:szCs w:val="21"/>
              </w:rPr>
            </w:pPr>
            <w:r>
              <w:rPr>
                <w:rFonts w:hint="eastAsia" w:ascii="宋体" w:hAnsi="宋体" w:cs="宋体"/>
                <w:color w:val="000000"/>
                <w:sz w:val="21"/>
                <w:szCs w:val="21"/>
              </w:rPr>
              <w:t>E</w:t>
            </w:r>
            <w:r>
              <w:rPr>
                <w:rFonts w:hint="eastAsia" w:ascii="宋体" w:hAnsi="宋体" w:cs="宋体"/>
                <w:color w:val="000000"/>
                <w:sz w:val="21"/>
                <w:szCs w:val="21"/>
                <w:lang w:val="en-US" w:eastAsia="zh-CN"/>
              </w:rPr>
              <w:t>O</w:t>
            </w:r>
            <w:r>
              <w:rPr>
                <w:rFonts w:hint="eastAsia" w:ascii="宋体" w:hAnsi="宋体" w:cs="宋体"/>
                <w:color w:val="000000"/>
                <w:sz w:val="21"/>
                <w:szCs w:val="21"/>
              </w:rPr>
              <w:t>8.2</w:t>
            </w:r>
          </w:p>
          <w:p>
            <w:pPr>
              <w:spacing w:line="280" w:lineRule="exact"/>
              <w:rPr>
                <w:rFonts w:hint="eastAsia" w:ascii="宋体" w:hAnsi="宋体" w:eastAsia="宋体" w:cs="宋体"/>
                <w:color w:val="000000"/>
                <w:kern w:val="2"/>
                <w:sz w:val="21"/>
                <w:szCs w:val="21"/>
                <w:lang w:val="en-US" w:eastAsia="zh-CN" w:bidi="ar-SA"/>
              </w:rPr>
            </w:pPr>
          </w:p>
        </w:tc>
        <w:tc>
          <w:tcPr>
            <w:tcW w:w="0" w:type="auto"/>
            <w:vAlign w:val="center"/>
          </w:tcPr>
          <w:p>
            <w:pPr>
              <w:spacing w:line="280" w:lineRule="exact"/>
              <w:ind w:firstLine="420" w:firstLineChars="200"/>
              <w:rPr>
                <w:rFonts w:hint="eastAsia" w:ascii="宋体" w:hAnsi="宋体" w:cs="宋体"/>
                <w:sz w:val="21"/>
                <w:szCs w:val="21"/>
              </w:rPr>
            </w:pPr>
            <w:r>
              <w:rPr>
                <w:rFonts w:hint="eastAsia" w:ascii="宋体" w:hAnsi="宋体" w:cs="宋体"/>
                <w:sz w:val="21"/>
                <w:szCs w:val="21"/>
              </w:rPr>
              <w:t>公司建立了《应急准备与响应控制程序》，明确了已识别的潜在紧急情况及对紧急情况应急准备和响应的控制要求，具有一定的可操作性。</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查紧急情况的控制：公司制定了“触电事故、机械事故、高处坠落、火灾、交通事故、财务存取款应急预案、起重伤害等事故紧急处理预案。编制：张鑫磊。审核：</w:t>
            </w:r>
            <w:r>
              <w:rPr>
                <w:rFonts w:hint="eastAsia" w:ascii="宋体" w:hAnsi="宋体" w:cs="宋体"/>
                <w:sz w:val="21"/>
                <w:szCs w:val="21"/>
                <w:lang w:eastAsia="zh-CN"/>
              </w:rPr>
              <w:t>张弛</w:t>
            </w:r>
            <w:r>
              <w:rPr>
                <w:rFonts w:hint="eastAsia" w:ascii="宋体" w:hAnsi="宋体" w:cs="宋体"/>
                <w:sz w:val="21"/>
                <w:szCs w:val="21"/>
              </w:rPr>
              <w:t>。批准：张勤。上述“应急预案”包括如下内容：指导思想，组织机构、预防措施、处置程序、应急处置程序、应急疏散程序、现场保护、等方面内容。包括降低人身伤害，疏散和逃生、扑救、救生、联络方式、应急设施的设置以及应急设施日常检查和维护的要求等程序要求，制定了事故报告程序、救援指挥程序等，明确了对应急预案及紧急情况进行培训和适当演练和评审的要求，具有一定的可操作性。</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查见，《公司生产安全事故应急救援指挥机构》负责人张勤：张勤（总经理），</w:t>
            </w:r>
            <w:r>
              <w:rPr>
                <w:rFonts w:hint="eastAsia" w:ascii="宋体" w:hAnsi="宋体" w:cs="宋体"/>
                <w:sz w:val="21"/>
                <w:szCs w:val="21"/>
                <w:lang w:eastAsia="zh-CN"/>
              </w:rPr>
              <w:t>张弛</w:t>
            </w:r>
            <w:r>
              <w:rPr>
                <w:rFonts w:hint="eastAsia" w:ascii="宋体" w:hAnsi="宋体" w:cs="宋体"/>
                <w:sz w:val="21"/>
                <w:szCs w:val="21"/>
              </w:rPr>
              <w:t>（副总兼管代）。查到《应急救援小组名单》及《抢险救援队名单》等，并对救援组织及人员进行了安排。</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查见，《应急救援设施表》，设施包括：氧气瓶、绝缘手套、安全帽、安全带、担架、药品箱、灭火器材等，基本满足应急要求。</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负责人张勤介绍，对于上述“应急预案”，组织了培训和演习，公司生产部组织公司有关人员参加了演习活动。</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抽查，公司机关“火灾事故”演练记录，演练时间：20</w:t>
            </w:r>
            <w:r>
              <w:rPr>
                <w:rFonts w:hint="eastAsia" w:ascii="宋体" w:hAnsi="宋体" w:cs="宋体"/>
                <w:sz w:val="21"/>
                <w:szCs w:val="21"/>
                <w:lang w:val="en-US" w:eastAsia="zh-CN"/>
              </w:rPr>
              <w:t>19</w:t>
            </w:r>
            <w:r>
              <w:rPr>
                <w:rFonts w:hint="eastAsia" w:ascii="宋体" w:hAnsi="宋体" w:cs="宋体"/>
                <w:sz w:val="21"/>
                <w:szCs w:val="21"/>
              </w:rPr>
              <w:t>.11.1</w:t>
            </w:r>
            <w:r>
              <w:rPr>
                <w:rFonts w:hint="eastAsia" w:ascii="宋体" w:hAnsi="宋体" w:cs="宋体"/>
                <w:sz w:val="21"/>
                <w:szCs w:val="21"/>
                <w:lang w:val="en-US" w:eastAsia="zh-CN"/>
              </w:rPr>
              <w:t>9</w:t>
            </w:r>
            <w:r>
              <w:rPr>
                <w:rFonts w:hint="eastAsia" w:ascii="宋体" w:hAnsi="宋体" w:cs="宋体"/>
                <w:sz w:val="21"/>
                <w:szCs w:val="21"/>
              </w:rPr>
              <w:t>，培训及演练地点：公司院内，参加人员：公司机关各部室的全体人员。包括对可能发生的火灾事故进行了培训以及模拟演练，内容包括火灾事故的危害性和潜在的火灾隐患、报警、逃生、应急设备实施的使用方法和伤员急救措施等。由现场指挥张勤对应急预案的可行性进行了评价，认为基本可行。</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应急设施如下：办公场地设置干粉灭火器，检验合格。并且设置了消防栓等消防设施，配备了急救药箱和急救药品。安全通道畅通。安全标语齐全醒目。</w:t>
            </w:r>
          </w:p>
          <w:p>
            <w:pPr>
              <w:spacing w:line="280" w:lineRule="exact"/>
              <w:ind w:firstLine="420" w:firstLineChars="200"/>
              <w:rPr>
                <w:rFonts w:hint="eastAsia" w:ascii="宋体" w:hAnsi="宋体" w:cs="宋体"/>
                <w:sz w:val="21"/>
                <w:szCs w:val="21"/>
              </w:rPr>
            </w:pPr>
            <w:r>
              <w:rPr>
                <w:rFonts w:hint="eastAsia" w:ascii="宋体" w:hAnsi="宋体" w:cs="宋体"/>
                <w:sz w:val="21"/>
                <w:szCs w:val="21"/>
              </w:rPr>
              <w:t>以上参加演练的人员，对于应急设施，如灭火器、消防栓等使用要点比较清楚，对于紧急通道的位置等也比较清楚，知晓报警电话119和救援 电话120.知晓单位应急救援负责人张勤联系方式。附件医院参加了演练。目前没有发生火灾、触电等紧急情况。应急的控制基本符合要求。</w:t>
            </w:r>
          </w:p>
          <w:p>
            <w:pPr>
              <w:spacing w:line="280" w:lineRule="exact"/>
              <w:ind w:firstLine="420" w:firstLineChars="200"/>
              <w:rPr>
                <w:rFonts w:hint="eastAsia" w:ascii="宋体" w:hAnsi="宋体" w:eastAsia="宋体" w:cs="宋体"/>
                <w:kern w:val="2"/>
                <w:sz w:val="21"/>
                <w:szCs w:val="21"/>
                <w:lang w:val="en-US" w:eastAsia="zh-CN" w:bidi="ar-SA"/>
              </w:rPr>
            </w:pPr>
          </w:p>
        </w:tc>
        <w:tc>
          <w:tcPr>
            <w:tcW w:w="0" w:type="auto"/>
          </w:tcPr>
          <w:p>
            <w:pPr>
              <w:rPr>
                <w:rFonts w:asciiTheme="minorEastAsia" w:hAnsiTheme="minorEastAsia" w:eastAsiaTheme="minorEastAsia"/>
                <w:szCs w:val="21"/>
              </w:rPr>
            </w:pPr>
          </w:p>
        </w:tc>
      </w:tr>
    </w:tbl>
    <w:p>
      <w:r>
        <w:ptab w:relativeTo="margin" w:alignment="center" w:leader="none"/>
      </w:r>
    </w:p>
    <w:p>
      <w:pPr>
        <w:pStyle w:val="4"/>
      </w:pPr>
      <w:r>
        <w:rPr>
          <w:rFonts w:hint="eastAsia"/>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4"/>
              <w:jc w:val="center"/>
            </w:pPr>
            <w:r>
              <w:rPr>
                <w:b/>
                <w:sz w:val="24"/>
                <w:szCs w:val="24"/>
              </w:rPr>
              <w:fldChar w:fldCharType="begin"/>
            </w:r>
            <w:r>
              <w:rPr>
                <w:b/>
              </w:rPr>
              <w:instrText xml:space="preserve">PAGE</w:instrText>
            </w:r>
            <w:r>
              <w:rPr>
                <w:b/>
                <w:sz w:val="24"/>
                <w:szCs w:val="24"/>
              </w:rPr>
              <w:fldChar w:fldCharType="separate"/>
            </w:r>
            <w:r>
              <w:rPr>
                <w:b/>
              </w:rPr>
              <w:t>9</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11</w:t>
            </w:r>
            <w:r>
              <w:rPr>
                <w:b/>
                <w:sz w:val="24"/>
                <w:szCs w:val="24"/>
              </w:rPr>
              <w:fldChar w:fldCharType="end"/>
            </w:r>
          </w:p>
        </w:sdtContent>
      </w:sdt>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tabs>
        <w:tab w:val="left" w:pos="8910"/>
        <w:tab w:val="left" w:pos="9142"/>
        <w:tab w:val="clear" w:pos="4153"/>
      </w:tabs>
      <w:spacing w:line="320" w:lineRule="exact"/>
      <w:ind w:left="-86" w:leftChars="-41" w:firstLine="810" w:firstLineChars="450"/>
      <w:jc w:val="left"/>
      <w:rPr>
        <w:rStyle w:val="11"/>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1"/>
        <w:rFonts w:hint="default"/>
      </w:rPr>
      <w:t>北京国标联合认证有限公司</w:t>
    </w:r>
    <w:r>
      <w:rPr>
        <w:rStyle w:val="11"/>
        <w:rFonts w:hint="default"/>
      </w:rPr>
      <w:tab/>
    </w:r>
    <w:r>
      <w:rPr>
        <w:rStyle w:val="11"/>
        <w:rFonts w:hint="default"/>
      </w:rPr>
      <w:tab/>
    </w:r>
    <w:r>
      <w:rPr>
        <w:rStyle w:val="11"/>
        <w:rFonts w:hint="default"/>
      </w:rPr>
      <w:tab/>
    </w:r>
  </w:p>
  <w:p>
    <w:pPr>
      <w:pStyle w:val="5"/>
      <w:pBdr>
        <w:bottom w:val="none" w:color="auto" w:sz="0" w:space="0"/>
      </w:pBdr>
      <w:spacing w:line="320" w:lineRule="exact"/>
      <w:jc w:val="left"/>
    </w:pPr>
    <w:r>
      <w:pict>
        <v:shape id="_x0000_s4097" o:spid="_x0000_s4097" o:spt="202" type="#_x0000_t202" style="position:absolute;left:0pt;margin-left:554.75pt;margin-top:2.2pt;height:20.2pt;width:172pt;z-index:251658240;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rFonts w:hint="eastAsia"/>
                    <w:sz w:val="18"/>
                    <w:szCs w:val="18"/>
                    <w:lang w:val="en-US" w:eastAsia="zh-CN"/>
                  </w:rPr>
                  <w:t>II-12</w:t>
                </w:r>
                <w:r>
                  <w:rPr>
                    <w:rFonts w:hint="eastAsia"/>
                    <w:sz w:val="18"/>
                    <w:szCs w:val="18"/>
                  </w:rPr>
                  <w:t>管理体系审核记录表(03版)</w:t>
                </w:r>
              </w:p>
            </w:txbxContent>
          </v:textbox>
        </v:shape>
      </w:pict>
    </w:r>
    <w:r>
      <w:rPr>
        <w:rStyle w:val="11"/>
        <w:rFonts w:hint="default"/>
        <w:w w:val="90"/>
      </w:rPr>
      <w:t>Beijing International Standard united Certification Co.,Ltd.</w:t>
    </w:r>
  </w:p>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E8D5E4"/>
    <w:multiLevelType w:val="singleLevel"/>
    <w:tmpl w:val="58E8D5E4"/>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402F40"/>
    <w:rsid w:val="00002F15"/>
    <w:rsid w:val="000032CD"/>
    <w:rsid w:val="00010DEA"/>
    <w:rsid w:val="00010E90"/>
    <w:rsid w:val="0001310A"/>
    <w:rsid w:val="00015025"/>
    <w:rsid w:val="000229FC"/>
    <w:rsid w:val="00026BDE"/>
    <w:rsid w:val="00030874"/>
    <w:rsid w:val="00034A10"/>
    <w:rsid w:val="00034F8B"/>
    <w:rsid w:val="0003546D"/>
    <w:rsid w:val="00036A63"/>
    <w:rsid w:val="00041D6A"/>
    <w:rsid w:val="00053409"/>
    <w:rsid w:val="00053497"/>
    <w:rsid w:val="00054127"/>
    <w:rsid w:val="000752C2"/>
    <w:rsid w:val="0009062E"/>
    <w:rsid w:val="00092771"/>
    <w:rsid w:val="00093C0A"/>
    <w:rsid w:val="000A6EDB"/>
    <w:rsid w:val="000B27AB"/>
    <w:rsid w:val="000B4DFC"/>
    <w:rsid w:val="000C2E02"/>
    <w:rsid w:val="000C2F59"/>
    <w:rsid w:val="000C765F"/>
    <w:rsid w:val="000D2D4B"/>
    <w:rsid w:val="000D5296"/>
    <w:rsid w:val="000D7656"/>
    <w:rsid w:val="000D7F3C"/>
    <w:rsid w:val="000E3787"/>
    <w:rsid w:val="000E72DB"/>
    <w:rsid w:val="000E75C1"/>
    <w:rsid w:val="000F41FA"/>
    <w:rsid w:val="000F7A2E"/>
    <w:rsid w:val="00104257"/>
    <w:rsid w:val="0010749A"/>
    <w:rsid w:val="0011010A"/>
    <w:rsid w:val="001156F1"/>
    <w:rsid w:val="00115A34"/>
    <w:rsid w:val="00115FC1"/>
    <w:rsid w:val="00126540"/>
    <w:rsid w:val="0013158A"/>
    <w:rsid w:val="00143DD4"/>
    <w:rsid w:val="00144146"/>
    <w:rsid w:val="001572C0"/>
    <w:rsid w:val="001616ED"/>
    <w:rsid w:val="001628C6"/>
    <w:rsid w:val="00173B0E"/>
    <w:rsid w:val="00173BA9"/>
    <w:rsid w:val="00174910"/>
    <w:rsid w:val="00195B5F"/>
    <w:rsid w:val="001B6B21"/>
    <w:rsid w:val="001E03C3"/>
    <w:rsid w:val="001E1CE1"/>
    <w:rsid w:val="001F6DE2"/>
    <w:rsid w:val="00203A91"/>
    <w:rsid w:val="002066A8"/>
    <w:rsid w:val="00207A52"/>
    <w:rsid w:val="00213619"/>
    <w:rsid w:val="00214E94"/>
    <w:rsid w:val="002154D6"/>
    <w:rsid w:val="0022366D"/>
    <w:rsid w:val="002250AD"/>
    <w:rsid w:val="0023558D"/>
    <w:rsid w:val="002370A1"/>
    <w:rsid w:val="002479BB"/>
    <w:rsid w:val="00253F2A"/>
    <w:rsid w:val="00255598"/>
    <w:rsid w:val="00256769"/>
    <w:rsid w:val="0026509B"/>
    <w:rsid w:val="00273D9D"/>
    <w:rsid w:val="0028076A"/>
    <w:rsid w:val="002922F0"/>
    <w:rsid w:val="002A5568"/>
    <w:rsid w:val="002A7BD8"/>
    <w:rsid w:val="002C3CB2"/>
    <w:rsid w:val="002E2F9E"/>
    <w:rsid w:val="002E7C3C"/>
    <w:rsid w:val="002F0028"/>
    <w:rsid w:val="002F1773"/>
    <w:rsid w:val="002F6674"/>
    <w:rsid w:val="00302BA5"/>
    <w:rsid w:val="00311664"/>
    <w:rsid w:val="003120A1"/>
    <w:rsid w:val="00313D62"/>
    <w:rsid w:val="00321B62"/>
    <w:rsid w:val="0032281E"/>
    <w:rsid w:val="003344E2"/>
    <w:rsid w:val="00334EDB"/>
    <w:rsid w:val="00335D6B"/>
    <w:rsid w:val="00336670"/>
    <w:rsid w:val="003430B7"/>
    <w:rsid w:val="00343583"/>
    <w:rsid w:val="00346D28"/>
    <w:rsid w:val="003507F2"/>
    <w:rsid w:val="003543ED"/>
    <w:rsid w:val="00354BC1"/>
    <w:rsid w:val="00360649"/>
    <w:rsid w:val="0036666E"/>
    <w:rsid w:val="003726F4"/>
    <w:rsid w:val="00382C60"/>
    <w:rsid w:val="00387832"/>
    <w:rsid w:val="00391BBB"/>
    <w:rsid w:val="00392398"/>
    <w:rsid w:val="00395F56"/>
    <w:rsid w:val="00396637"/>
    <w:rsid w:val="003977A3"/>
    <w:rsid w:val="003A4BD8"/>
    <w:rsid w:val="003A61B8"/>
    <w:rsid w:val="003A68BC"/>
    <w:rsid w:val="003A7DCD"/>
    <w:rsid w:val="003B1E5F"/>
    <w:rsid w:val="003B24BE"/>
    <w:rsid w:val="003C535A"/>
    <w:rsid w:val="003D2632"/>
    <w:rsid w:val="003D3B53"/>
    <w:rsid w:val="003D6CB9"/>
    <w:rsid w:val="003E0075"/>
    <w:rsid w:val="003E56AB"/>
    <w:rsid w:val="003E6CCD"/>
    <w:rsid w:val="003E73C7"/>
    <w:rsid w:val="003F0686"/>
    <w:rsid w:val="003F7B36"/>
    <w:rsid w:val="0040283A"/>
    <w:rsid w:val="00402F40"/>
    <w:rsid w:val="00423C8B"/>
    <w:rsid w:val="00425B51"/>
    <w:rsid w:val="00426D9B"/>
    <w:rsid w:val="00426F9B"/>
    <w:rsid w:val="00451002"/>
    <w:rsid w:val="00481134"/>
    <w:rsid w:val="004A0476"/>
    <w:rsid w:val="004A128A"/>
    <w:rsid w:val="004A3FFD"/>
    <w:rsid w:val="004A4E79"/>
    <w:rsid w:val="004A58E2"/>
    <w:rsid w:val="004A6132"/>
    <w:rsid w:val="004B4578"/>
    <w:rsid w:val="004B66A7"/>
    <w:rsid w:val="004C0B91"/>
    <w:rsid w:val="004C18AA"/>
    <w:rsid w:val="004C2157"/>
    <w:rsid w:val="004C398F"/>
    <w:rsid w:val="004C6E51"/>
    <w:rsid w:val="004D653D"/>
    <w:rsid w:val="004E09FC"/>
    <w:rsid w:val="004E2C3A"/>
    <w:rsid w:val="004E2D31"/>
    <w:rsid w:val="004E3194"/>
    <w:rsid w:val="004E7965"/>
    <w:rsid w:val="00501ED7"/>
    <w:rsid w:val="00515C9E"/>
    <w:rsid w:val="00522BB0"/>
    <w:rsid w:val="00524A99"/>
    <w:rsid w:val="0053405A"/>
    <w:rsid w:val="005368E6"/>
    <w:rsid w:val="00537EA0"/>
    <w:rsid w:val="00540E80"/>
    <w:rsid w:val="005429AC"/>
    <w:rsid w:val="00545E01"/>
    <w:rsid w:val="00547798"/>
    <w:rsid w:val="005678AD"/>
    <w:rsid w:val="00574DEE"/>
    <w:rsid w:val="00593042"/>
    <w:rsid w:val="0059538F"/>
    <w:rsid w:val="005A01FF"/>
    <w:rsid w:val="005A3879"/>
    <w:rsid w:val="005A5CE3"/>
    <w:rsid w:val="005A5D42"/>
    <w:rsid w:val="005A5FD5"/>
    <w:rsid w:val="005C6807"/>
    <w:rsid w:val="005D68DC"/>
    <w:rsid w:val="005E188F"/>
    <w:rsid w:val="005E43F6"/>
    <w:rsid w:val="005F4050"/>
    <w:rsid w:val="00607115"/>
    <w:rsid w:val="0060725B"/>
    <w:rsid w:val="0062638F"/>
    <w:rsid w:val="00626523"/>
    <w:rsid w:val="00631C23"/>
    <w:rsid w:val="0063223C"/>
    <w:rsid w:val="00635554"/>
    <w:rsid w:val="00641DA9"/>
    <w:rsid w:val="00647331"/>
    <w:rsid w:val="00652822"/>
    <w:rsid w:val="0065391B"/>
    <w:rsid w:val="00654832"/>
    <w:rsid w:val="00655A4E"/>
    <w:rsid w:val="00684801"/>
    <w:rsid w:val="00686371"/>
    <w:rsid w:val="0069483E"/>
    <w:rsid w:val="006A1551"/>
    <w:rsid w:val="006A1D68"/>
    <w:rsid w:val="006B729D"/>
    <w:rsid w:val="006C0875"/>
    <w:rsid w:val="006C0A9E"/>
    <w:rsid w:val="006C394D"/>
    <w:rsid w:val="006E6763"/>
    <w:rsid w:val="006F1E6C"/>
    <w:rsid w:val="006F7341"/>
    <w:rsid w:val="00700356"/>
    <w:rsid w:val="00702C3C"/>
    <w:rsid w:val="00706140"/>
    <w:rsid w:val="00706A8D"/>
    <w:rsid w:val="00727097"/>
    <w:rsid w:val="0073037D"/>
    <w:rsid w:val="00731C7F"/>
    <w:rsid w:val="00732359"/>
    <w:rsid w:val="007518AE"/>
    <w:rsid w:val="00752D03"/>
    <w:rsid w:val="00765B8A"/>
    <w:rsid w:val="00776318"/>
    <w:rsid w:val="00782C50"/>
    <w:rsid w:val="007918AE"/>
    <w:rsid w:val="007937FA"/>
    <w:rsid w:val="007A0144"/>
    <w:rsid w:val="007A0A6C"/>
    <w:rsid w:val="007C13EA"/>
    <w:rsid w:val="007C4882"/>
    <w:rsid w:val="007C5422"/>
    <w:rsid w:val="007E6F90"/>
    <w:rsid w:val="007E704A"/>
    <w:rsid w:val="007F0E6A"/>
    <w:rsid w:val="007F3125"/>
    <w:rsid w:val="007F4CD1"/>
    <w:rsid w:val="007F53A6"/>
    <w:rsid w:val="007F61EA"/>
    <w:rsid w:val="008013D8"/>
    <w:rsid w:val="008013EB"/>
    <w:rsid w:val="00805F9C"/>
    <w:rsid w:val="00834A19"/>
    <w:rsid w:val="008424F3"/>
    <w:rsid w:val="00844F7D"/>
    <w:rsid w:val="00850C70"/>
    <w:rsid w:val="0085552B"/>
    <w:rsid w:val="00873971"/>
    <w:rsid w:val="00884671"/>
    <w:rsid w:val="008926FF"/>
    <w:rsid w:val="00892B7C"/>
    <w:rsid w:val="008A2C6C"/>
    <w:rsid w:val="008B62BD"/>
    <w:rsid w:val="008B630A"/>
    <w:rsid w:val="008C240D"/>
    <w:rsid w:val="008C73CF"/>
    <w:rsid w:val="008D3216"/>
    <w:rsid w:val="008D6573"/>
    <w:rsid w:val="008D7494"/>
    <w:rsid w:val="008D78FE"/>
    <w:rsid w:val="008E6C04"/>
    <w:rsid w:val="008E7884"/>
    <w:rsid w:val="008F55B0"/>
    <w:rsid w:val="008F6234"/>
    <w:rsid w:val="009011B8"/>
    <w:rsid w:val="00906C10"/>
    <w:rsid w:val="00916764"/>
    <w:rsid w:val="009225F4"/>
    <w:rsid w:val="00926613"/>
    <w:rsid w:val="00937312"/>
    <w:rsid w:val="0094420D"/>
    <w:rsid w:val="009500F0"/>
    <w:rsid w:val="009670D2"/>
    <w:rsid w:val="00974E66"/>
    <w:rsid w:val="0097611E"/>
    <w:rsid w:val="009836C5"/>
    <w:rsid w:val="00996DF5"/>
    <w:rsid w:val="009A7B08"/>
    <w:rsid w:val="009B18DE"/>
    <w:rsid w:val="009B1F43"/>
    <w:rsid w:val="009B26AB"/>
    <w:rsid w:val="009B3B9F"/>
    <w:rsid w:val="009C3385"/>
    <w:rsid w:val="009C5479"/>
    <w:rsid w:val="009C7D66"/>
    <w:rsid w:val="009D0A07"/>
    <w:rsid w:val="009E57FC"/>
    <w:rsid w:val="009E59FC"/>
    <w:rsid w:val="009F532E"/>
    <w:rsid w:val="00A012AC"/>
    <w:rsid w:val="00A0652B"/>
    <w:rsid w:val="00A16559"/>
    <w:rsid w:val="00A1787D"/>
    <w:rsid w:val="00A17C6F"/>
    <w:rsid w:val="00A426FE"/>
    <w:rsid w:val="00A43A4C"/>
    <w:rsid w:val="00A45CF6"/>
    <w:rsid w:val="00A5095B"/>
    <w:rsid w:val="00A6027D"/>
    <w:rsid w:val="00A70442"/>
    <w:rsid w:val="00A91672"/>
    <w:rsid w:val="00AA0339"/>
    <w:rsid w:val="00AA1C82"/>
    <w:rsid w:val="00AA28B4"/>
    <w:rsid w:val="00AB19B0"/>
    <w:rsid w:val="00AD1018"/>
    <w:rsid w:val="00AE19F6"/>
    <w:rsid w:val="00AE1EEA"/>
    <w:rsid w:val="00AE1F07"/>
    <w:rsid w:val="00AE3B07"/>
    <w:rsid w:val="00AF2F4A"/>
    <w:rsid w:val="00B00B01"/>
    <w:rsid w:val="00B106A5"/>
    <w:rsid w:val="00B21F6A"/>
    <w:rsid w:val="00B33348"/>
    <w:rsid w:val="00B33AC3"/>
    <w:rsid w:val="00B35D3A"/>
    <w:rsid w:val="00B40225"/>
    <w:rsid w:val="00B421CB"/>
    <w:rsid w:val="00B45E1F"/>
    <w:rsid w:val="00B576F7"/>
    <w:rsid w:val="00B702B5"/>
    <w:rsid w:val="00B777FE"/>
    <w:rsid w:val="00B8323F"/>
    <w:rsid w:val="00B8632B"/>
    <w:rsid w:val="00B90646"/>
    <w:rsid w:val="00B9089C"/>
    <w:rsid w:val="00B911F6"/>
    <w:rsid w:val="00B9320B"/>
    <w:rsid w:val="00B95498"/>
    <w:rsid w:val="00BA4D99"/>
    <w:rsid w:val="00BB0B4A"/>
    <w:rsid w:val="00BB3628"/>
    <w:rsid w:val="00BC3120"/>
    <w:rsid w:val="00BC7F8D"/>
    <w:rsid w:val="00BD3749"/>
    <w:rsid w:val="00BD5B9F"/>
    <w:rsid w:val="00BD6531"/>
    <w:rsid w:val="00BE0796"/>
    <w:rsid w:val="00BE5676"/>
    <w:rsid w:val="00BE6C2D"/>
    <w:rsid w:val="00BE72C9"/>
    <w:rsid w:val="00C01E63"/>
    <w:rsid w:val="00C06344"/>
    <w:rsid w:val="00C10511"/>
    <w:rsid w:val="00C12058"/>
    <w:rsid w:val="00C1321B"/>
    <w:rsid w:val="00C24A27"/>
    <w:rsid w:val="00C252D3"/>
    <w:rsid w:val="00C46F6D"/>
    <w:rsid w:val="00C55AE8"/>
    <w:rsid w:val="00C60754"/>
    <w:rsid w:val="00C6216D"/>
    <w:rsid w:val="00C64CFE"/>
    <w:rsid w:val="00CA2C32"/>
    <w:rsid w:val="00CA575E"/>
    <w:rsid w:val="00CB3948"/>
    <w:rsid w:val="00CB6B6B"/>
    <w:rsid w:val="00CB76E2"/>
    <w:rsid w:val="00CC002D"/>
    <w:rsid w:val="00CC5FFD"/>
    <w:rsid w:val="00CC6DE9"/>
    <w:rsid w:val="00CD19DA"/>
    <w:rsid w:val="00CD5D5D"/>
    <w:rsid w:val="00CD7EF5"/>
    <w:rsid w:val="00CE3AFB"/>
    <w:rsid w:val="00CF08D1"/>
    <w:rsid w:val="00D00107"/>
    <w:rsid w:val="00D00AB9"/>
    <w:rsid w:val="00D07043"/>
    <w:rsid w:val="00D1600E"/>
    <w:rsid w:val="00D4350C"/>
    <w:rsid w:val="00D47328"/>
    <w:rsid w:val="00D5148E"/>
    <w:rsid w:val="00D57857"/>
    <w:rsid w:val="00D65929"/>
    <w:rsid w:val="00D65CC5"/>
    <w:rsid w:val="00D70150"/>
    <w:rsid w:val="00D824A6"/>
    <w:rsid w:val="00D85191"/>
    <w:rsid w:val="00D852C1"/>
    <w:rsid w:val="00D87863"/>
    <w:rsid w:val="00D92EA9"/>
    <w:rsid w:val="00D93202"/>
    <w:rsid w:val="00D95585"/>
    <w:rsid w:val="00D97375"/>
    <w:rsid w:val="00DA1C66"/>
    <w:rsid w:val="00DB0DB3"/>
    <w:rsid w:val="00DB56EC"/>
    <w:rsid w:val="00DB68BB"/>
    <w:rsid w:val="00DC10C9"/>
    <w:rsid w:val="00DC141A"/>
    <w:rsid w:val="00DC1F8B"/>
    <w:rsid w:val="00DC54D5"/>
    <w:rsid w:val="00DC6BD9"/>
    <w:rsid w:val="00DD657E"/>
    <w:rsid w:val="00DE5935"/>
    <w:rsid w:val="00DF39D4"/>
    <w:rsid w:val="00E000F3"/>
    <w:rsid w:val="00E01A67"/>
    <w:rsid w:val="00E04E98"/>
    <w:rsid w:val="00E26CD9"/>
    <w:rsid w:val="00E31199"/>
    <w:rsid w:val="00E408B9"/>
    <w:rsid w:val="00E5254B"/>
    <w:rsid w:val="00E536BD"/>
    <w:rsid w:val="00E63915"/>
    <w:rsid w:val="00E6752E"/>
    <w:rsid w:val="00E73649"/>
    <w:rsid w:val="00E83448"/>
    <w:rsid w:val="00E84167"/>
    <w:rsid w:val="00E86264"/>
    <w:rsid w:val="00E90BC0"/>
    <w:rsid w:val="00E94AA5"/>
    <w:rsid w:val="00E979EC"/>
    <w:rsid w:val="00E97FC0"/>
    <w:rsid w:val="00EA1DF0"/>
    <w:rsid w:val="00EA6FC7"/>
    <w:rsid w:val="00EB7CA4"/>
    <w:rsid w:val="00EC0B82"/>
    <w:rsid w:val="00ED3033"/>
    <w:rsid w:val="00EE0FA0"/>
    <w:rsid w:val="00EF0D98"/>
    <w:rsid w:val="00EF1C56"/>
    <w:rsid w:val="00F00D9D"/>
    <w:rsid w:val="00F107CC"/>
    <w:rsid w:val="00F168AD"/>
    <w:rsid w:val="00F2589C"/>
    <w:rsid w:val="00F276D7"/>
    <w:rsid w:val="00F341A5"/>
    <w:rsid w:val="00F34E3E"/>
    <w:rsid w:val="00F436A1"/>
    <w:rsid w:val="00F43E81"/>
    <w:rsid w:val="00F52757"/>
    <w:rsid w:val="00F60B7F"/>
    <w:rsid w:val="00F63DC9"/>
    <w:rsid w:val="00F65A4A"/>
    <w:rsid w:val="00F67B2F"/>
    <w:rsid w:val="00F97B89"/>
    <w:rsid w:val="00FA596D"/>
    <w:rsid w:val="00FA7A80"/>
    <w:rsid w:val="00FB286A"/>
    <w:rsid w:val="00FC24EE"/>
    <w:rsid w:val="00FD61B8"/>
    <w:rsid w:val="00FE79F6"/>
    <w:rsid w:val="01CD6CE5"/>
    <w:rsid w:val="02126006"/>
    <w:rsid w:val="02335A3B"/>
    <w:rsid w:val="0243122A"/>
    <w:rsid w:val="02973189"/>
    <w:rsid w:val="02D235E4"/>
    <w:rsid w:val="030A6935"/>
    <w:rsid w:val="03F03E5F"/>
    <w:rsid w:val="04475396"/>
    <w:rsid w:val="044A0C55"/>
    <w:rsid w:val="04F67BB1"/>
    <w:rsid w:val="05AD0D45"/>
    <w:rsid w:val="06EB1DAE"/>
    <w:rsid w:val="07DA38AC"/>
    <w:rsid w:val="088760E8"/>
    <w:rsid w:val="09831705"/>
    <w:rsid w:val="099B6A6C"/>
    <w:rsid w:val="0A31736F"/>
    <w:rsid w:val="0A5B7148"/>
    <w:rsid w:val="0AF81A84"/>
    <w:rsid w:val="0BA36B47"/>
    <w:rsid w:val="0BC249D3"/>
    <w:rsid w:val="0C367BDA"/>
    <w:rsid w:val="0CA0609C"/>
    <w:rsid w:val="0D9221F6"/>
    <w:rsid w:val="0DC70617"/>
    <w:rsid w:val="0ED405CE"/>
    <w:rsid w:val="0F2E782A"/>
    <w:rsid w:val="0F5F7E22"/>
    <w:rsid w:val="0FD374CD"/>
    <w:rsid w:val="100616D8"/>
    <w:rsid w:val="101F5BEB"/>
    <w:rsid w:val="10654E5F"/>
    <w:rsid w:val="10B21BF3"/>
    <w:rsid w:val="113754C3"/>
    <w:rsid w:val="1175723E"/>
    <w:rsid w:val="11C56400"/>
    <w:rsid w:val="123A0920"/>
    <w:rsid w:val="12964A53"/>
    <w:rsid w:val="14FB3E23"/>
    <w:rsid w:val="154D0183"/>
    <w:rsid w:val="15AD2A9E"/>
    <w:rsid w:val="15EA727C"/>
    <w:rsid w:val="17FD4125"/>
    <w:rsid w:val="1806087A"/>
    <w:rsid w:val="19552FC3"/>
    <w:rsid w:val="1A6E035C"/>
    <w:rsid w:val="1AE53227"/>
    <w:rsid w:val="1BAE6F05"/>
    <w:rsid w:val="1BC82279"/>
    <w:rsid w:val="1D5B66BC"/>
    <w:rsid w:val="1E282070"/>
    <w:rsid w:val="1E763AF7"/>
    <w:rsid w:val="1EF50EC8"/>
    <w:rsid w:val="1F0958C2"/>
    <w:rsid w:val="214921D4"/>
    <w:rsid w:val="21C47A2C"/>
    <w:rsid w:val="2256165D"/>
    <w:rsid w:val="22B761F1"/>
    <w:rsid w:val="232B7085"/>
    <w:rsid w:val="23413C56"/>
    <w:rsid w:val="2352470E"/>
    <w:rsid w:val="23FE3A33"/>
    <w:rsid w:val="25747C91"/>
    <w:rsid w:val="259C1BE5"/>
    <w:rsid w:val="26437C95"/>
    <w:rsid w:val="266954C2"/>
    <w:rsid w:val="269A44C3"/>
    <w:rsid w:val="27B710BE"/>
    <w:rsid w:val="27BB15C8"/>
    <w:rsid w:val="27DD676E"/>
    <w:rsid w:val="288E4FB8"/>
    <w:rsid w:val="28E04418"/>
    <w:rsid w:val="28F5281A"/>
    <w:rsid w:val="29743B4A"/>
    <w:rsid w:val="29AB3044"/>
    <w:rsid w:val="29EE299D"/>
    <w:rsid w:val="2B056605"/>
    <w:rsid w:val="2B89328B"/>
    <w:rsid w:val="2BFB7A4B"/>
    <w:rsid w:val="2C9318E6"/>
    <w:rsid w:val="2CB633F2"/>
    <w:rsid w:val="2D994606"/>
    <w:rsid w:val="2DC5739A"/>
    <w:rsid w:val="2DCC1410"/>
    <w:rsid w:val="2F5856CA"/>
    <w:rsid w:val="2F65398B"/>
    <w:rsid w:val="2FAF2BE9"/>
    <w:rsid w:val="2FC32FA3"/>
    <w:rsid w:val="30DE7AA2"/>
    <w:rsid w:val="30ED701E"/>
    <w:rsid w:val="317A1BDA"/>
    <w:rsid w:val="31881C4A"/>
    <w:rsid w:val="31DA2180"/>
    <w:rsid w:val="31F7114F"/>
    <w:rsid w:val="33E163B4"/>
    <w:rsid w:val="33E82B46"/>
    <w:rsid w:val="352C1CEE"/>
    <w:rsid w:val="35C76B3C"/>
    <w:rsid w:val="36062C99"/>
    <w:rsid w:val="36931D58"/>
    <w:rsid w:val="36950858"/>
    <w:rsid w:val="37CD4F21"/>
    <w:rsid w:val="38CF3892"/>
    <w:rsid w:val="39F16DB0"/>
    <w:rsid w:val="3A1B4886"/>
    <w:rsid w:val="3A410EDC"/>
    <w:rsid w:val="3BFC2420"/>
    <w:rsid w:val="3C8E48B2"/>
    <w:rsid w:val="3CA07975"/>
    <w:rsid w:val="3CE9187B"/>
    <w:rsid w:val="3D087540"/>
    <w:rsid w:val="3D3B6DF3"/>
    <w:rsid w:val="3F355A35"/>
    <w:rsid w:val="3FAB7131"/>
    <w:rsid w:val="40D00366"/>
    <w:rsid w:val="41050182"/>
    <w:rsid w:val="41FC3AC7"/>
    <w:rsid w:val="43AB4333"/>
    <w:rsid w:val="442A0C44"/>
    <w:rsid w:val="446D6B9E"/>
    <w:rsid w:val="45987E8D"/>
    <w:rsid w:val="461D0B39"/>
    <w:rsid w:val="47197EF4"/>
    <w:rsid w:val="473C5B05"/>
    <w:rsid w:val="48B22CBD"/>
    <w:rsid w:val="48E54354"/>
    <w:rsid w:val="49386FDA"/>
    <w:rsid w:val="49B960C7"/>
    <w:rsid w:val="4A06700C"/>
    <w:rsid w:val="4A4351BD"/>
    <w:rsid w:val="4A564C68"/>
    <w:rsid w:val="4A643BEC"/>
    <w:rsid w:val="4B5C0B25"/>
    <w:rsid w:val="4BA018A0"/>
    <w:rsid w:val="4BC20C46"/>
    <w:rsid w:val="4D851D2C"/>
    <w:rsid w:val="4E743665"/>
    <w:rsid w:val="4FAD67A6"/>
    <w:rsid w:val="500A763B"/>
    <w:rsid w:val="51822903"/>
    <w:rsid w:val="51AB4D72"/>
    <w:rsid w:val="5289382E"/>
    <w:rsid w:val="528E0A8C"/>
    <w:rsid w:val="54246733"/>
    <w:rsid w:val="54704258"/>
    <w:rsid w:val="547E6337"/>
    <w:rsid w:val="54927ADD"/>
    <w:rsid w:val="549C1877"/>
    <w:rsid w:val="553D20CF"/>
    <w:rsid w:val="557D59DF"/>
    <w:rsid w:val="55C3461A"/>
    <w:rsid w:val="5607093A"/>
    <w:rsid w:val="5624739B"/>
    <w:rsid w:val="5662146B"/>
    <w:rsid w:val="585D0184"/>
    <w:rsid w:val="587E11F0"/>
    <w:rsid w:val="590B4798"/>
    <w:rsid w:val="598B4DAB"/>
    <w:rsid w:val="59B56BEE"/>
    <w:rsid w:val="59C47E54"/>
    <w:rsid w:val="5A175381"/>
    <w:rsid w:val="5A4D43C2"/>
    <w:rsid w:val="5AE700A7"/>
    <w:rsid w:val="5B4717EE"/>
    <w:rsid w:val="5C581BC4"/>
    <w:rsid w:val="5C7754EE"/>
    <w:rsid w:val="5C943CC7"/>
    <w:rsid w:val="5CC076A1"/>
    <w:rsid w:val="5EBC4EA6"/>
    <w:rsid w:val="60DF0BD3"/>
    <w:rsid w:val="610F7EC3"/>
    <w:rsid w:val="618E122D"/>
    <w:rsid w:val="62166BA9"/>
    <w:rsid w:val="63031F7D"/>
    <w:rsid w:val="646150B7"/>
    <w:rsid w:val="64927C04"/>
    <w:rsid w:val="64966A4B"/>
    <w:rsid w:val="65C40AFC"/>
    <w:rsid w:val="67326B06"/>
    <w:rsid w:val="68270F20"/>
    <w:rsid w:val="682B1921"/>
    <w:rsid w:val="68D616D6"/>
    <w:rsid w:val="68D922D2"/>
    <w:rsid w:val="69546830"/>
    <w:rsid w:val="69BF6304"/>
    <w:rsid w:val="6A382410"/>
    <w:rsid w:val="6A447F03"/>
    <w:rsid w:val="6B0310A9"/>
    <w:rsid w:val="6B895251"/>
    <w:rsid w:val="6C1A4BB7"/>
    <w:rsid w:val="6D434493"/>
    <w:rsid w:val="6E8238FC"/>
    <w:rsid w:val="6ED1002C"/>
    <w:rsid w:val="6F556AA7"/>
    <w:rsid w:val="703A518B"/>
    <w:rsid w:val="708113A8"/>
    <w:rsid w:val="70C97231"/>
    <w:rsid w:val="71747D4B"/>
    <w:rsid w:val="729F7582"/>
    <w:rsid w:val="72DB79E4"/>
    <w:rsid w:val="72F508C3"/>
    <w:rsid w:val="732815A2"/>
    <w:rsid w:val="758E7DA0"/>
    <w:rsid w:val="759A3F02"/>
    <w:rsid w:val="759B0B9C"/>
    <w:rsid w:val="75DA4560"/>
    <w:rsid w:val="7675233F"/>
    <w:rsid w:val="77814AC1"/>
    <w:rsid w:val="78A84834"/>
    <w:rsid w:val="790F00A9"/>
    <w:rsid w:val="791001D9"/>
    <w:rsid w:val="7A562C5C"/>
    <w:rsid w:val="7A703DBA"/>
    <w:rsid w:val="7AE429C1"/>
    <w:rsid w:val="7B412511"/>
    <w:rsid w:val="7BDA5ECE"/>
    <w:rsid w:val="7BF41AEE"/>
    <w:rsid w:val="7C3165E8"/>
    <w:rsid w:val="7C9867FD"/>
    <w:rsid w:val="7CF94CEF"/>
    <w:rsid w:val="7E247676"/>
    <w:rsid w:val="7E793228"/>
    <w:rsid w:val="7E960599"/>
    <w:rsid w:val="7EBE5F5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13"/>
    <w:qFormat/>
    <w:uiPriority w:val="0"/>
    <w:rPr>
      <w:rFonts w:ascii="宋体" w:hAnsi="Courier New"/>
    </w:rPr>
  </w:style>
  <w:style w:type="paragraph" w:styleId="3">
    <w:name w:val="Balloon Text"/>
    <w:basedOn w:val="1"/>
    <w:link w:val="10"/>
    <w:semiHidden/>
    <w:unhideWhenUsed/>
    <w:qFormat/>
    <w:uiPriority w:val="99"/>
    <w:rPr>
      <w:sz w:val="18"/>
      <w:szCs w:val="18"/>
    </w:rPr>
  </w:style>
  <w:style w:type="paragraph" w:styleId="4">
    <w:name w:val="footer"/>
    <w:basedOn w:val="1"/>
    <w:link w:val="9"/>
    <w:unhideWhenUsed/>
    <w:qFormat/>
    <w:uiPriority w:val="99"/>
    <w:pPr>
      <w:tabs>
        <w:tab w:val="center" w:pos="4153"/>
        <w:tab w:val="right" w:pos="8306"/>
      </w:tabs>
      <w:snapToGrid w:val="0"/>
      <w:jc w:val="left"/>
    </w:pPr>
    <w:rPr>
      <w:sz w:val="18"/>
      <w:szCs w:val="18"/>
    </w:rPr>
  </w:style>
  <w:style w:type="paragraph" w:styleId="5">
    <w:name w:val="header"/>
    <w:basedOn w:val="1"/>
    <w:link w:val="8"/>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8">
    <w:name w:val="页眉 Char"/>
    <w:basedOn w:val="7"/>
    <w:link w:val="5"/>
    <w:qFormat/>
    <w:uiPriority w:val="99"/>
    <w:rPr>
      <w:rFonts w:ascii="Times New Roman" w:hAnsi="Times New Roman" w:eastAsia="宋体" w:cs="Times New Roman"/>
      <w:sz w:val="18"/>
      <w:szCs w:val="18"/>
    </w:rPr>
  </w:style>
  <w:style w:type="character" w:customStyle="1" w:styleId="9">
    <w:name w:val="页脚 Char"/>
    <w:basedOn w:val="7"/>
    <w:link w:val="4"/>
    <w:qFormat/>
    <w:uiPriority w:val="99"/>
    <w:rPr>
      <w:rFonts w:ascii="Times New Roman" w:hAnsi="Times New Roman" w:eastAsia="宋体" w:cs="Times New Roman"/>
      <w:sz w:val="18"/>
      <w:szCs w:val="18"/>
    </w:rPr>
  </w:style>
  <w:style w:type="character" w:customStyle="1" w:styleId="10">
    <w:name w:val="批注框文本 Char"/>
    <w:basedOn w:val="7"/>
    <w:link w:val="3"/>
    <w:semiHidden/>
    <w:qFormat/>
    <w:uiPriority w:val="99"/>
    <w:rPr>
      <w:rFonts w:ascii="Times New Roman" w:hAnsi="Times New Roman" w:eastAsia="宋体" w:cs="Times New Roman"/>
      <w:sz w:val="18"/>
      <w:szCs w:val="18"/>
    </w:rPr>
  </w:style>
  <w:style w:type="character" w:customStyle="1" w:styleId="11">
    <w:name w:val="Char Char1"/>
    <w:qFormat/>
    <w:locked/>
    <w:uiPriority w:val="0"/>
    <w:rPr>
      <w:rFonts w:hint="eastAsia" w:ascii="宋体" w:hAnsi="Courier New" w:eastAsia="宋体"/>
      <w:kern w:val="2"/>
      <w:sz w:val="21"/>
      <w:lang w:val="en-US" w:eastAsia="zh-CN" w:bidi="ar-SA"/>
    </w:rPr>
  </w:style>
  <w:style w:type="paragraph" w:customStyle="1" w:styleId="12">
    <w:name w:val="表格文字"/>
    <w:basedOn w:val="1"/>
    <w:qFormat/>
    <w:uiPriority w:val="0"/>
    <w:pPr>
      <w:spacing w:before="25" w:after="25"/>
    </w:pPr>
    <w:rPr>
      <w:bCs/>
      <w:spacing w:val="10"/>
    </w:rPr>
  </w:style>
  <w:style w:type="character" w:customStyle="1" w:styleId="13">
    <w:name w:val="纯文本 Char"/>
    <w:basedOn w:val="7"/>
    <w:link w:val="2"/>
    <w:qFormat/>
    <w:uiPriority w:val="0"/>
    <w:rPr>
      <w:rFonts w:ascii="宋体" w:hAnsi="Courier New" w:eastAsia="宋体" w:cs="Times New Roman"/>
      <w:kern w:val="2"/>
      <w:sz w:val="21"/>
    </w:rPr>
  </w:style>
  <w:style w:type="paragraph" w:customStyle="1" w:styleId="14">
    <w:name w:val="Char"/>
    <w:basedOn w:val="1"/>
    <w:qFormat/>
    <w:uiPriority w:val="0"/>
    <w:pPr>
      <w:tabs>
        <w:tab w:val="left" w:pos="360"/>
      </w:tabs>
    </w:pPr>
    <w:rPr>
      <w:szCs w:val="24"/>
    </w:rPr>
  </w:style>
  <w:style w:type="paragraph" w:styleId="15">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4E1210B-54DF-4D9F-9716-B8270DD610EF}">
  <ds:schemaRefs/>
</ds:datastoreItem>
</file>

<file path=docProps/app.xml><?xml version="1.0" encoding="utf-8"?>
<Properties xmlns="http://schemas.openxmlformats.org/officeDocument/2006/extended-properties" xmlns:vt="http://schemas.openxmlformats.org/officeDocument/2006/docPropsVTypes">
  <Template>Normal</Template>
  <Pages>11</Pages>
  <Words>1582</Words>
  <Characters>9021</Characters>
  <Lines>75</Lines>
  <Paragraphs>21</Paragraphs>
  <TotalTime>23</TotalTime>
  <ScaleCrop>false</ScaleCrop>
  <LinksUpToDate>false</LinksUpToDate>
  <CharactersWithSpaces>10582</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2019-09-08T06:13:00Z</dcterms:created>
  <dc:creator>微软用户</dc:creator>
  <cp:lastModifiedBy>李凤仪</cp:lastModifiedBy>
  <dcterms:modified xsi:type="dcterms:W3CDTF">2020-12-01T08:06:56Z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