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90914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20365-2024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江苏华鹏变压器有限公司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韩沁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13770537363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陈秉桦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15150852728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秦晓燕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13584501825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>
            <w:pPr>
              <w:jc w:val="center"/>
            </w:pPr>
            <w:r>
              <w:t>余慧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>
            <w:pPr>
              <w:jc w:val="center"/>
            </w:pPr>
            <w:r>
              <w:t>组员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>
            <w:pPr>
              <w:jc w:val="center"/>
            </w:pPr>
            <w:r>
              <w:t>13382769563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2025年05月17日上午至2025年05月17日下午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23368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2025-05-13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22741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