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1274-2022-QF-2024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浙江尖峰健康科技有限公司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Q:03.08.03,03.08.06,03.10.07</w:t>
            </w:r>
          </w:p>
          <w:p w:rsidR="00F9189D">
            <w:pPr>
              <w:spacing w:line="360" w:lineRule="auto"/>
              <w:jc w:val="center"/>
              <w:rPr>
                <w:b/>
                <w:szCs w:val="21"/>
              </w:rPr>
            </w:pPr>
            <w:r>
              <w:rPr>
                <w:b/>
                <w:szCs w:val="21"/>
              </w:rPr>
              <w:t>F:CIV-14,CIV-4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Q:03.08.03,03.10.07</w:t>
            </w:r>
          </w:p>
          <w:p w:rsidR="00F9189D">
            <w:pPr>
              <w:spacing w:line="360" w:lineRule="auto"/>
              <w:jc w:val="center"/>
              <w:rPr>
                <w:b/>
                <w:szCs w:val="21"/>
              </w:rPr>
            </w:pPr>
            <w:r>
              <w:rPr>
                <w:b/>
                <w:szCs w:val="21"/>
              </w:rPr>
              <w:t>F:CIV-4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2024年01月29日 上午至2024年01月30日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浙江省金华市婺城区婺城新城区临江工业园西溪街96号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浙江省金华市婺城新城区临江工业园西溪街96号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