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20313-2024-EnMS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520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重庆剑涛铝业有限公司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17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2024-N1EnMS-1247783</w:t>
            </w:r>
          </w:p>
        </w:tc>
        <w:tc>
          <w:tcPr>
            <w:tcW w:w="3145" w:type="dxa"/>
            <w:vAlign w:val="center"/>
          </w:tcPr>
          <w:p w:rsidR="00142F5C" w:rsidP="00772D33">
            <w:pPr>
              <w:spacing w:line="360" w:lineRule="exact"/>
              <w:jc w:val="center"/>
              <w:rPr>
                <w:szCs w:val="21"/>
              </w:rPr>
            </w:pPr>
            <w:r>
              <w:t>2.2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2024-N1EnMS-1287023</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2025年09月18日上午至2025年09月19日上午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EnMS:60万吨/年再生铝合金锭（液）的生产所涉及的能源管理活动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重庆市涪陵区马鞍居委十组（李渡工业园区内）</w:t>
      </w:r>
    </w:p>
    <w:p w:rsidR="001F0A49">
      <w:pPr>
        <w:spacing w:line="360" w:lineRule="auto"/>
        <w:ind w:firstLine="420" w:firstLineChars="200"/>
      </w:pPr>
      <w:r>
        <w:rPr>
          <w:rFonts w:hint="eastAsia"/>
        </w:rPr>
        <w:t>办公地址：</w:t>
      </w:r>
      <w:r>
        <w:rPr>
          <w:rFonts w:hint="eastAsia"/>
        </w:rPr>
        <w:t>重庆市涪陵区李渡工业园区盘龙路13号</w:t>
      </w:r>
    </w:p>
    <w:p w:rsidR="001F0A49">
      <w:pPr>
        <w:spacing w:line="360" w:lineRule="auto"/>
        <w:ind w:firstLine="420" w:firstLineChars="200"/>
      </w:pPr>
      <w:r>
        <w:rPr>
          <w:rFonts w:hint="eastAsia"/>
        </w:rPr>
        <w:t>经营地址：</w:t>
      </w:r>
      <w:bookmarkStart w:id="12" w:name="生产地址"/>
      <w:bookmarkEnd w:id="12"/>
      <w:r>
        <w:rPr>
          <w:rFonts w:hint="eastAsia"/>
        </w:rPr>
        <w:t>重庆市涪陵区李渡工业园区盘龙路13号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重庆剑涛铝业有限公司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019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