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8959B2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  <w:lang w:val="en-US" w:eastAsia="zh-CN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成都天远宏图科技有限公司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2025年09月22日上午至2025年09月22日下午</w:t>
      </w: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682145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291105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24875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70495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875396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346127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457190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519450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668214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886865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219219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628816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83946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130996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李凤娟</w:t>
            </w:r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34D5C50A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14:paraId="260079F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74151A74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42922D9C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6F9977F9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53B0D0D0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>说明：《审核记录表》中，重点对下面《绩效检查评价表》中未涉及到的条款进行审核描述。比如5.1领导作用与承诺；6.1.1风险和机遇的确认；6.1.2绿色属性；9.1.2合规性评价9.2内审9.3管理评审10.2不合格和纠正措施10.4突破型变更10.5创新与重组及领导访谈等内容</w:t>
      </w:r>
    </w:p>
    <w:p w14:paraId="2331102E">
      <w:pPr>
        <w:spacing w:line="360" w:lineRule="auto"/>
        <w:jc w:val="center"/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项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检查表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1685"/>
        <w:gridCol w:w="4936"/>
        <w:gridCol w:w="4239"/>
      </w:tblGrid>
      <w:tr w14:paraId="243304B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70EF031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内容</w:t>
            </w:r>
          </w:p>
        </w:tc>
        <w:tc>
          <w:tcPr>
            <w:tcW w:w="1685" w:type="dxa"/>
            <w:vAlign w:val="center"/>
          </w:tcPr>
          <w:p w14:paraId="5D5C6D0A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类型</w:t>
            </w:r>
          </w:p>
        </w:tc>
        <w:tc>
          <w:tcPr>
            <w:tcW w:w="4936" w:type="dxa"/>
            <w:vAlign w:val="center"/>
          </w:tcPr>
          <w:p w14:paraId="35BA8B3E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审核要求</w:t>
            </w:r>
          </w:p>
        </w:tc>
        <w:tc>
          <w:tcPr>
            <w:tcW w:w="4239" w:type="dxa"/>
            <w:vAlign w:val="center"/>
          </w:tcPr>
          <w:p w14:paraId="266C3BF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审核结果</w:t>
            </w:r>
          </w:p>
        </w:tc>
      </w:tr>
      <w:tr w14:paraId="17177C1E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14:paraId="7C07E24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申请组织是否守法达标,近1年内应未受过质量、安全、环保方面的处罚?</w:t>
            </w:r>
          </w:p>
          <w:p w14:paraId="35148CB7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1C9103F0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026A02A8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是,继续进行评价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；</w:t>
            </w:r>
          </w:p>
        </w:tc>
        <w:tc>
          <w:tcPr>
            <w:tcW w:w="4239" w:type="dxa"/>
            <w:vAlign w:val="center"/>
          </w:tcPr>
          <w:p w14:paraId="061FA57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6A8F733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14:paraId="78D049F0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7056FFA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5EFED08F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近1年内受过环保处罚，不予受理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4239" w:type="dxa"/>
            <w:vAlign w:val="center"/>
          </w:tcPr>
          <w:p w14:paraId="5D9C79C4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lang w:val="en-US" w:eastAsia="zh-CN"/>
              </w:rPr>
              <w:t>记录处罚内容：</w:t>
            </w:r>
          </w:p>
        </w:tc>
      </w:tr>
      <w:tr w14:paraId="38E1577C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14:paraId="6E3D1B0B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是否建立绿色供应链管理的措施并有效实施?</w:t>
            </w:r>
          </w:p>
          <w:p w14:paraId="4377D6F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488F671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67B2FE06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建有管理措施并有效实施,完成设定的目标</w:t>
            </w:r>
          </w:p>
        </w:tc>
        <w:tc>
          <w:tcPr>
            <w:tcW w:w="4239" w:type="dxa"/>
            <w:vMerge w:val="restart"/>
            <w:vAlign w:val="center"/>
          </w:tcPr>
          <w:p w14:paraId="7A705A55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3825E52A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14:paraId="5D6B5477">
            <w:pPr>
              <w:pStyle w:val="a"/>
              <w:jc w:val="left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AEFE108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32BA96A4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未建立管理措施,不予受理</w:t>
            </w:r>
          </w:p>
          <w:p w14:paraId="6FF7D250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39" w:type="dxa"/>
            <w:vMerge/>
            <w:vAlign w:val="center"/>
          </w:tcPr>
          <w:p w14:paraId="23C167B6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4865611D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14:paraId="4AC58261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是否建立并保持文件化的文件和资料的控制程序，对相关记录的保存期限应有文件规定?</w:t>
            </w:r>
          </w:p>
          <w:p w14:paraId="64CA17A2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3840A42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基本项</w:t>
            </w:r>
          </w:p>
        </w:tc>
        <w:tc>
          <w:tcPr>
            <w:tcW w:w="4936" w:type="dxa"/>
            <w:vAlign w:val="center"/>
          </w:tcPr>
          <w:p w14:paraId="3AAEEA9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建立文件和资料控制程序，并保留1年以上</w:t>
            </w:r>
          </w:p>
        </w:tc>
        <w:tc>
          <w:tcPr>
            <w:tcW w:w="4239" w:type="dxa"/>
            <w:vMerge w:val="restart"/>
            <w:vAlign w:val="center"/>
          </w:tcPr>
          <w:p w14:paraId="63C8D21C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满足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□</w:t>
            </w:r>
            <w:r>
              <w:rPr>
                <w:rFonts w:ascii="宋体" w:eastAsia="宋体" w:hAnsi="宋体" w:hint="eastAsia"/>
                <w:sz w:val="21"/>
                <w:szCs w:val="21"/>
                <w:u w:val="none"/>
                <w:vertAlign w:val="baseline"/>
                <w:lang w:val="en-US" w:eastAsia="zh-CN"/>
              </w:rPr>
              <w:t>不满足</w:t>
            </w:r>
          </w:p>
        </w:tc>
      </w:tr>
      <w:tr w14:paraId="55652D37"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14:paraId="4D451634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/>
            <w:vAlign w:val="center"/>
          </w:tcPr>
          <w:p w14:paraId="45D19392">
            <w:pPr>
              <w:pStyle w:val="a"/>
              <w:jc w:val="center"/>
              <w:rPr>
                <w:sz w:val="21"/>
                <w:szCs w:val="21"/>
                <w:u w:val="none"/>
              </w:rPr>
            </w:pPr>
          </w:p>
        </w:tc>
        <w:tc>
          <w:tcPr>
            <w:tcW w:w="4936" w:type="dxa"/>
            <w:vAlign w:val="center"/>
          </w:tcPr>
          <w:p w14:paraId="61DB3E75">
            <w:pPr>
              <w:pStyle w:val="a"/>
              <w:jc w:val="left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ascii="宋体" w:eastAsia="宋体" w:hAnsi="宋体" w:hint="default"/>
                <w:sz w:val="21"/>
                <w:szCs w:val="21"/>
                <w:u w:val="none"/>
                <w:lang w:val="en-US" w:eastAsia="zh-CN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14:paraId="5BF582D9">
            <w:pPr>
              <w:pStyle w:val="a"/>
              <w:jc w:val="center"/>
              <w:rPr>
                <w:rFonts w:ascii="宋体" w:eastAsia="宋体" w:hAnsi="宋体" w:hint="default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</w:tbl>
    <w:p w14:paraId="27EEBB89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</w:p>
    <w:p w14:paraId="28554B5A">
      <w:pPr>
        <w:pStyle w:val="a"/>
        <w:jc w:val="center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管理绩效和运行绩效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  <w:lang w:val="en-US" w:eastAsia="zh-CN"/>
        </w:rPr>
        <w:t>评价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lang w:val="en-US" w:eastAsia="zh-CN"/>
        </w:rPr>
        <w:t>表</w:t>
      </w:r>
    </w:p>
    <w:p w14:paraId="7D4E7EF3">
      <w:pPr>
        <w:pStyle w:val="a"/>
        <w:rPr>
          <w:rFonts w:ascii="宋体" w:eastAsia="宋体" w:hAnsi="宋体" w:hint="default"/>
          <w:sz w:val="24"/>
          <w:szCs w:val="24"/>
          <w:u w:val="single"/>
          <w:lang w:val="en-US" w:eastAsia="zh-CN"/>
        </w:rPr>
      </w:pPr>
      <w:r>
        <w:rPr>
          <w:rFonts w:ascii="宋体" w:eastAsia="宋体" w:hAnsi="宋体" w:hint="eastAsia"/>
          <w:sz w:val="24"/>
          <w:szCs w:val="24"/>
          <w:u w:val="single"/>
          <w:lang w:val="en-US" w:eastAsia="zh-CN"/>
        </w:rPr>
        <w:t xml:space="preserve">审核员：             </w:t>
      </w:r>
      <w:bookmarkStart w:id="4" w:name="_GoBack"/>
      <w:bookmarkEnd w:id="4"/>
    </w:p>
    <w:tbl>
      <w:tblPr>
        <w:tblStyle w:val="TableGrid"/>
        <w:tblW w:w="1411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 w14:paraId="1E328578">
        <w:tblPrEx>
          <w:tblW w:w="14111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  <w:tblHeader/>
        </w:trPr>
        <w:tc>
          <w:tcPr>
            <w:tcW w:w="688" w:type="dxa"/>
          </w:tcPr>
          <w:p w14:paraId="78358A2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89" w:type="dxa"/>
          </w:tcPr>
          <w:p w14:paraId="510F0EE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分类</w:t>
            </w:r>
          </w:p>
        </w:tc>
        <w:tc>
          <w:tcPr>
            <w:tcW w:w="1189" w:type="dxa"/>
          </w:tcPr>
          <w:p w14:paraId="6D7E37F7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一级指标</w:t>
            </w:r>
          </w:p>
        </w:tc>
        <w:tc>
          <w:tcPr>
            <w:tcW w:w="817" w:type="dxa"/>
          </w:tcPr>
          <w:p w14:paraId="15556D3B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权重</w:t>
            </w:r>
          </w:p>
        </w:tc>
        <w:tc>
          <w:tcPr>
            <w:tcW w:w="1586" w:type="dxa"/>
          </w:tcPr>
          <w:p w14:paraId="008B278B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对应条款及二级指标</w:t>
            </w:r>
          </w:p>
        </w:tc>
        <w:tc>
          <w:tcPr>
            <w:tcW w:w="808" w:type="dxa"/>
          </w:tcPr>
          <w:p w14:paraId="15935FE0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887" w:type="dxa"/>
          </w:tcPr>
          <w:p w14:paraId="29A5B5E7">
            <w:pPr>
              <w:jc w:val="center"/>
              <w:rPr>
                <w:rFonts w:ascii="宋体" w:eastAsia="宋体" w:hAnsi="宋体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val="en-US" w:eastAsia="zh-CN"/>
              </w:rPr>
              <w:t>点（可根据企业情况增加）</w:t>
            </w:r>
          </w:p>
        </w:tc>
        <w:tc>
          <w:tcPr>
            <w:tcW w:w="3238" w:type="dxa"/>
          </w:tcPr>
          <w:p w14:paraId="63A33342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符合性说明</w:t>
            </w:r>
          </w:p>
        </w:tc>
        <w:tc>
          <w:tcPr>
            <w:tcW w:w="709" w:type="dxa"/>
          </w:tcPr>
          <w:p w14:paraId="7EBD96CC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得分</w:t>
            </w:r>
          </w:p>
        </w:tc>
      </w:tr>
      <w:tr w14:paraId="21D02F5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231A2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14:paraId="00C88E4E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4477CF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14:paraId="6256D2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412BE2DC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5.1、5.2、6.2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绿色发展规划、目标 X101</w:t>
            </w:r>
          </w:p>
          <w:p w14:paraId="5A3CB9F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4042582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12D955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将绿色发展战略纳入企业规划，制定３年～５年供应链绿色提升目标，确定每一年的分目标，如： </w:t>
            </w:r>
          </w:p>
          <w:p w14:paraId="29025D7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绿色供应链方针或领导承诺</w:t>
            </w:r>
            <w:r>
              <w:rPr>
                <w:rFonts w:ascii="宋体" w:eastAsia="宋体" w:hAnsi="宋体"/>
                <w:sz w:val="21"/>
                <w:szCs w:val="21"/>
              </w:rPr>
              <w:t>；</w:t>
            </w:r>
          </w:p>
          <w:p w14:paraId="4498609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 ●绿色供应链提升目标（尽可能量化） </w:t>
            </w:r>
          </w:p>
        </w:tc>
        <w:tc>
          <w:tcPr>
            <w:tcW w:w="3238" w:type="dxa"/>
          </w:tcPr>
          <w:p w14:paraId="4983016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05443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DB52D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68A27662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14:paraId="51EBAD4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6A2406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8AD3A1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B51E6A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4、6.1.2.2、7.5</w:t>
            </w:r>
          </w:p>
          <w:p w14:paraId="1DDEC393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绿色供应链管理体系 X102</w:t>
            </w:r>
          </w:p>
          <w:p w14:paraId="797E546D">
            <w:pPr>
              <w:pStyle w:val="a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808" w:type="dxa"/>
            <w:vAlign w:val="center"/>
          </w:tcPr>
          <w:p w14:paraId="4F4C80C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2B07708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14:paraId="6C0880B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●产品绿色设计；</w:t>
            </w:r>
          </w:p>
          <w:p w14:paraId="6BDE59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●绿色采购；</w:t>
            </w:r>
          </w:p>
          <w:p w14:paraId="26FE3E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●绿色生产；</w:t>
            </w:r>
          </w:p>
          <w:p w14:paraId="4CBEA0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●绿色物流；</w:t>
            </w:r>
          </w:p>
          <w:p w14:paraId="12BF91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●绿色回收及末端处置；</w:t>
            </w:r>
          </w:p>
          <w:p w14:paraId="2AABC4D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14:paraId="78E1D81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1E1E3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1608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4BE272D0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14:paraId="7975D1D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813F61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0EA28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AF4702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5.3、7.1、7.2、7.3</w:t>
            </w:r>
          </w:p>
          <w:p w14:paraId="56B4B2A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机</w:t>
            </w:r>
            <w:r>
              <w:rPr>
                <w:rFonts w:ascii="宋体" w:eastAsia="宋体" w:hAnsi="宋体"/>
                <w:sz w:val="21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14:paraId="68E42A52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30分</w:t>
            </w:r>
          </w:p>
        </w:tc>
        <w:tc>
          <w:tcPr>
            <w:tcW w:w="3887" w:type="dxa"/>
          </w:tcPr>
          <w:p w14:paraId="4A7801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建立有效的组织机构（或对现有机构及资源进行整合），满足绿色供应链管理需要。提供必要的人力、财力、设备、信息及知识等资源，以保障机构的有效运行；明确绿色供应链管理相关部门、人员和职责 </w:t>
            </w:r>
          </w:p>
        </w:tc>
        <w:tc>
          <w:tcPr>
            <w:tcW w:w="3238" w:type="dxa"/>
          </w:tcPr>
          <w:p w14:paraId="521AC03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10CE08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8A4005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/>
        </w:trPr>
        <w:tc>
          <w:tcPr>
            <w:tcW w:w="688" w:type="dxa"/>
          </w:tcPr>
          <w:p w14:paraId="48E27169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14:paraId="63FC597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</w:tcPr>
          <w:p w14:paraId="4F84F2F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</w:tcPr>
          <w:p w14:paraId="7C2A10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C38F044">
            <w:pPr>
              <w:jc w:val="left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10.1、10.3</w:t>
            </w:r>
          </w:p>
          <w:p w14:paraId="524A1CD2">
            <w:pPr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14:paraId="13D824E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20分</w:t>
            </w:r>
          </w:p>
        </w:tc>
        <w:tc>
          <w:tcPr>
            <w:tcW w:w="3887" w:type="dxa"/>
          </w:tcPr>
          <w:p w14:paraId="2F3BD74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14:paraId="447FE9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15DAAF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F9D1AD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/>
        </w:trPr>
        <w:tc>
          <w:tcPr>
            <w:tcW w:w="688" w:type="dxa"/>
          </w:tcPr>
          <w:p w14:paraId="7D284BF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14:paraId="41A16E9C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14:paraId="33776FC7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2220EF7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14:paraId="692EDFD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4A235B5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8.1、8.2、</w:t>
            </w:r>
          </w:p>
          <w:p w14:paraId="139CB8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14:paraId="77BD4A5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3887" w:type="dxa"/>
          </w:tcPr>
          <w:p w14:paraId="4C58BCC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产品进行绿色设计或对现有产品进行绿色改进设计。提高产品绿色性（如资源消耗、环境排放、有害物质使用、回收利用性等）；产品满足相关方绿色性要求（来自标准、采购方或其他相关方） </w:t>
            </w:r>
          </w:p>
        </w:tc>
        <w:tc>
          <w:tcPr>
            <w:tcW w:w="3238" w:type="dxa"/>
          </w:tcPr>
          <w:p w14:paraId="7800B9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680BC8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3716CE2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D028B0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14:paraId="12E15BA9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847097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A1606A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FE3AC6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</w:p>
          <w:p w14:paraId="63DB26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工艺绿色设计Ｘ２０２</w:t>
            </w:r>
          </w:p>
        </w:tc>
        <w:tc>
          <w:tcPr>
            <w:tcW w:w="808" w:type="dxa"/>
          </w:tcPr>
          <w:p w14:paraId="27F1C3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7718F19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工艺技术、流程及工艺设备进行绿色属性识别和核查，针对重点问题进行工艺优化和改进</w:t>
            </w:r>
          </w:p>
        </w:tc>
        <w:tc>
          <w:tcPr>
            <w:tcW w:w="3238" w:type="dxa"/>
          </w:tcPr>
          <w:p w14:paraId="1FEC05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5F390D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DAABD44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D5B8F6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14:paraId="4ADDCB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2C128E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9B52FA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EA5C3F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包装</w:t>
            </w:r>
            <w:r>
              <w:rPr>
                <w:rFonts w:ascii="宋体" w:eastAsia="宋体" w:hAnsi="宋体"/>
                <w:sz w:val="21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203</w:t>
            </w:r>
          </w:p>
        </w:tc>
        <w:tc>
          <w:tcPr>
            <w:tcW w:w="808" w:type="dxa"/>
          </w:tcPr>
          <w:p w14:paraId="3608124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43F8E98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14:paraId="532D312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5D9152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B33496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49CB9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14:paraId="660CF51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9257A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F2620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1692B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204</w:t>
            </w:r>
          </w:p>
        </w:tc>
        <w:tc>
          <w:tcPr>
            <w:tcW w:w="808" w:type="dxa"/>
          </w:tcPr>
          <w:p w14:paraId="2FFCBEB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41F0BEE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14:paraId="2BAF5B5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78FB588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3BF5A6B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4B82A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14:paraId="591F9DD2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1255165D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5901DBC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14:paraId="671835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14:paraId="64C9ABD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14:paraId="3075FE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8986B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制定系统的绿色供应商选择原则及绿色供应商评估、监督、业绩评价管理程序，形成标准或管理制度文件对供应商进行风险评估，根据风险评估结果 </w:t>
            </w:r>
          </w:p>
        </w:tc>
        <w:tc>
          <w:tcPr>
            <w:tcW w:w="3238" w:type="dxa"/>
          </w:tcPr>
          <w:p w14:paraId="774C48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DB027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3CDF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24E1F9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14:paraId="3E2B63F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A0601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BA5A70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D48F7EF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8.1、8.3</w:t>
            </w:r>
          </w:p>
          <w:p w14:paraId="66CC17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求X302</w:t>
            </w:r>
          </w:p>
        </w:tc>
        <w:tc>
          <w:tcPr>
            <w:tcW w:w="808" w:type="dxa"/>
            <w:vAlign w:val="center"/>
          </w:tcPr>
          <w:p w14:paraId="42AF53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660B252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14:paraId="63ED533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94B4D2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D296B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8A570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14:paraId="6E99C64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C8FA3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58FBF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11012D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14:paraId="3B4D19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C2119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14:paraId="2321745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A330D1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B080D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E3EFDE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14:paraId="28C691C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E270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96E102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BA74F1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14:paraId="120A679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16F115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对供应商实施分类管理 对合格供应商定期审核监督，推动供应商持续改进</w:t>
            </w:r>
          </w:p>
        </w:tc>
        <w:tc>
          <w:tcPr>
            <w:tcW w:w="3238" w:type="dxa"/>
          </w:tcPr>
          <w:p w14:paraId="074977A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4FA379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5A40A7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53E4FC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14:paraId="1F85C1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78D6AD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67AC6B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EA6B97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监督X305</w:t>
            </w:r>
          </w:p>
        </w:tc>
        <w:tc>
          <w:tcPr>
            <w:tcW w:w="808" w:type="dxa"/>
            <w:vAlign w:val="center"/>
          </w:tcPr>
          <w:p w14:paraId="578FA65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2314F70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对供应商定期进行绿色绩效评价，如： </w:t>
            </w:r>
          </w:p>
          <w:p w14:paraId="7C8E634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●产品绿色化程度； </w:t>
            </w:r>
          </w:p>
          <w:p w14:paraId="4F59F94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●生产过程绿色化程度； </w:t>
            </w:r>
          </w:p>
          <w:p w14:paraId="73B91F6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●生产变更情况； </w:t>
            </w:r>
          </w:p>
          <w:p w14:paraId="5C0B2D8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●审核监督与改进； </w:t>
            </w:r>
          </w:p>
          <w:p w14:paraId="05DD82A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●异常事件与整改； </w:t>
            </w:r>
          </w:p>
          <w:p w14:paraId="2B9D5B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●管理过程综合评价等</w:t>
            </w:r>
          </w:p>
        </w:tc>
        <w:tc>
          <w:tcPr>
            <w:tcW w:w="3238" w:type="dxa"/>
          </w:tcPr>
          <w:p w14:paraId="7C87576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FD2E64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2F90E8B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DAB0C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14:paraId="76DD700E">
            <w:pP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73A3A6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63CA7C0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ADD333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/>
                <w:sz w:val="21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14:paraId="1AF32D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15F3A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14:paraId="5D156C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171E9A7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028CEC6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50430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14:paraId="01F52F9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18EB8A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1C6D52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034BD5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8.2</w:t>
            </w:r>
            <w:r>
              <w:rPr>
                <w:rFonts w:ascii="宋体" w:eastAsia="宋体" w:hAnsi="宋体"/>
                <w:sz w:val="21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应X307</w:t>
            </w:r>
          </w:p>
        </w:tc>
        <w:tc>
          <w:tcPr>
            <w:tcW w:w="808" w:type="dxa"/>
            <w:vAlign w:val="center"/>
          </w:tcPr>
          <w:p w14:paraId="575BE07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1A61762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14:paraId="47F37CE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0D4F18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247B6F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C8A11F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14:paraId="7E95BFA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E1F44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0062A5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0074B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7.5</w:t>
            </w:r>
            <w:r>
              <w:rPr>
                <w:rFonts w:ascii="宋体" w:eastAsia="宋体" w:hAnsi="宋体"/>
                <w:sz w:val="21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理X308</w:t>
            </w:r>
          </w:p>
        </w:tc>
        <w:tc>
          <w:tcPr>
            <w:tcW w:w="808" w:type="dxa"/>
            <w:vAlign w:val="center"/>
          </w:tcPr>
          <w:p w14:paraId="14C9CF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014CE2E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14:paraId="50F4609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7E3167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7CB9331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D9EFE3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14:paraId="72E4D51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59FF8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BAB3F1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6E7CE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沟通与培训X309</w:t>
            </w:r>
          </w:p>
        </w:tc>
        <w:tc>
          <w:tcPr>
            <w:tcW w:w="808" w:type="dxa"/>
            <w:vAlign w:val="center"/>
          </w:tcPr>
          <w:p w14:paraId="6FF46C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3887" w:type="dxa"/>
          </w:tcPr>
          <w:p w14:paraId="379788C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238" w:type="dxa"/>
          </w:tcPr>
          <w:p w14:paraId="0A7A4E4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</w:tcPr>
          <w:p w14:paraId="33F98B4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14:paraId="54F625C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/>
        </w:trPr>
        <w:tc>
          <w:tcPr>
            <w:tcW w:w="688" w:type="dxa"/>
            <w:vAlign w:val="center"/>
          </w:tcPr>
          <w:p w14:paraId="54935A7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14:paraId="6532A455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378D2A9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14:paraId="05B6070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14:paraId="28F9F1B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8.5</w:t>
            </w:r>
            <w:r>
              <w:rPr>
                <w:rFonts w:ascii="宋体" w:eastAsia="宋体" w:hAnsi="宋体"/>
                <w:sz w:val="21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X401</w:t>
            </w:r>
          </w:p>
        </w:tc>
        <w:tc>
          <w:tcPr>
            <w:tcW w:w="808" w:type="dxa"/>
          </w:tcPr>
          <w:p w14:paraId="125E56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5435178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14:paraId="712892B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D56A8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F44CA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69E681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14:paraId="1B7F165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30391F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06EEF0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00777AF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6.1.2.1</w:t>
            </w:r>
            <w:r>
              <w:rPr>
                <w:rFonts w:ascii="宋体" w:eastAsia="宋体" w:hAnsi="宋体"/>
                <w:sz w:val="21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X402</w:t>
            </w:r>
          </w:p>
        </w:tc>
        <w:tc>
          <w:tcPr>
            <w:tcW w:w="808" w:type="dxa"/>
          </w:tcPr>
          <w:p w14:paraId="1228E5B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00F7952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14:paraId="4CD572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C5D79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4EC56A1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BC510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14:paraId="2A39BD8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C5AF4C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E3B2FB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81121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污染</w:t>
            </w:r>
            <w:r>
              <w:rPr>
                <w:rFonts w:ascii="宋体" w:eastAsia="宋体" w:hAnsi="宋体"/>
                <w:sz w:val="21"/>
                <w:szCs w:val="21"/>
              </w:rPr>
              <w:t>物排放Ｘ４０３</w:t>
            </w:r>
          </w:p>
        </w:tc>
        <w:tc>
          <w:tcPr>
            <w:tcW w:w="808" w:type="dxa"/>
          </w:tcPr>
          <w:p w14:paraId="374AB8A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5117A50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及噪声数据，并 满足国家和地方的标准</w:t>
            </w:r>
          </w:p>
        </w:tc>
        <w:tc>
          <w:tcPr>
            <w:tcW w:w="3238" w:type="dxa"/>
          </w:tcPr>
          <w:p w14:paraId="01AD03A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CADB94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5D8FF9B7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8E61C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14:paraId="3191313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26BEDBA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8B4EC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0D4D8A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14:paraId="447CC2E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31F7C7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14:paraId="7094B4D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CBC376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255753B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CDDDB5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14:paraId="0F31268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96980E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6EEA39C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47D39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系统X405</w:t>
            </w:r>
          </w:p>
        </w:tc>
        <w:tc>
          <w:tcPr>
            <w:tcW w:w="808" w:type="dxa"/>
          </w:tcPr>
          <w:p w14:paraId="091C55B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3887" w:type="dxa"/>
          </w:tcPr>
          <w:p w14:paraId="4460E03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建立和健全用能计量系统，监测和记录生产过程中的能源及水资源消耗；</w:t>
            </w:r>
          </w:p>
          <w:p w14:paraId="100433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14:paraId="5911353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FA8293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E4A05D8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356E02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14:paraId="7CD81C5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2CF277E1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49ECFED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4D4BA6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单位产品综合能耗Ｘ４０６</w:t>
            </w:r>
          </w:p>
        </w:tc>
        <w:tc>
          <w:tcPr>
            <w:tcW w:w="808" w:type="dxa"/>
          </w:tcPr>
          <w:p w14:paraId="25588A1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AAA51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单位产品综合能耗符合相关国家、行业标准中的限额要求；</w:t>
            </w:r>
          </w:p>
          <w:p w14:paraId="4CE9115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14:paraId="349AE80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11D4FF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DCC0A7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/>
        </w:trPr>
        <w:tc>
          <w:tcPr>
            <w:tcW w:w="688" w:type="dxa"/>
          </w:tcPr>
          <w:p w14:paraId="68237E2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14:paraId="7DDAD604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373FB7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5ED43A4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533622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14:paraId="3B5CEF5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3887" w:type="dxa"/>
          </w:tcPr>
          <w:p w14:paraId="3DE4A0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开展节水评价工作，且满足行业取水定额要求 （如果有）</w:t>
            </w:r>
          </w:p>
        </w:tc>
        <w:tc>
          <w:tcPr>
            <w:tcW w:w="3238" w:type="dxa"/>
          </w:tcPr>
          <w:p w14:paraId="7DB20F6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3F83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9127C0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C8BC5E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14:paraId="408605DE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0C79B20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14:paraId="1D0A691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638774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14:paraId="2171BB6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36804FA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14:paraId="2234B95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6462008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6A43536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DE269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14:paraId="2FA1D2F7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6FA0F5C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F235F0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C7C17F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8.4</w:t>
            </w:r>
            <w:r>
              <w:rPr>
                <w:rFonts w:ascii="宋体" w:eastAsia="宋体" w:hAnsi="宋体"/>
                <w:sz w:val="21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14:paraId="362CB7A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</w:p>
        </w:tc>
        <w:tc>
          <w:tcPr>
            <w:tcW w:w="3887" w:type="dxa"/>
          </w:tcPr>
          <w:p w14:paraId="1D1F04C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14:paraId="5D31622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产品及包装物可回收的企业，建立逆向物料渠道和管理程序 </w:t>
            </w:r>
          </w:p>
        </w:tc>
        <w:tc>
          <w:tcPr>
            <w:tcW w:w="3238" w:type="dxa"/>
          </w:tcPr>
          <w:p w14:paraId="09455C5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C25274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11BB933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1AD0BEE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14:paraId="0D83AC2B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0359917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46492D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6E3530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14:paraId="7570147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</w:t>
            </w:r>
          </w:p>
        </w:tc>
        <w:tc>
          <w:tcPr>
            <w:tcW w:w="3887" w:type="dxa"/>
          </w:tcPr>
          <w:p w14:paraId="05352CF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根据产品特性，如需要，制定保证产品完整性及防止有害物质泄漏的运输、储存要求，如：运输过程特殊要求，仓储环境条件要求（如：温度、湿度、光照等要素）等 </w:t>
            </w:r>
          </w:p>
        </w:tc>
        <w:tc>
          <w:tcPr>
            <w:tcW w:w="3238" w:type="dxa"/>
          </w:tcPr>
          <w:p w14:paraId="432DD43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B614D7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6B19ABBC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688" w:type="dxa"/>
          </w:tcPr>
          <w:p w14:paraId="587DBD0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14:paraId="6601ABF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5004696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789EE9F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9972BE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14:paraId="42876E1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35F33B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14:paraId="1FA96285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4BC0A3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68B8B7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286EDD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14:paraId="48F1798D">
            <w:pPr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14:paraId="5E49F1E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14:paraId="63A05E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7DEBBB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收体系Ｘ６０１ </w:t>
            </w:r>
          </w:p>
        </w:tc>
        <w:tc>
          <w:tcPr>
            <w:tcW w:w="808" w:type="dxa"/>
          </w:tcPr>
          <w:p w14:paraId="6EE4593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0F7836B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14:paraId="398EB51E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CF1F22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03BE21A9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1071F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14:paraId="2418372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14:paraId="1D2C745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17678B1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50FC3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8.6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下</w:t>
            </w:r>
            <w:r>
              <w:rPr>
                <w:rFonts w:ascii="宋体" w:eastAsia="宋体" w:hAnsi="宋体"/>
                <w:sz w:val="21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14:paraId="69704FE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11C0881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指导下游企业回收、拆解及再利用，建立产品及包装物回收拆解文件，并传递给下游相关方；</w:t>
            </w:r>
          </w:p>
          <w:p w14:paraId="1A04646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通过培训和现场辅导等方式提高零部件、原材料以及产品的回收率；</w:t>
            </w:r>
          </w:p>
          <w:p w14:paraId="0B319A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14:paraId="0C22E8F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0228AAF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5126990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08F3C287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14:paraId="25C454B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1C69775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39F6C4D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B2F66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无害化处理Ｘ６０３ </w:t>
            </w:r>
          </w:p>
        </w:tc>
        <w:tc>
          <w:tcPr>
            <w:tcW w:w="808" w:type="dxa"/>
            <w:vAlign w:val="center"/>
          </w:tcPr>
          <w:p w14:paraId="3D90BE1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226370F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14:paraId="66A7CF93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5541954B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4E40A34E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191B444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14:paraId="3A3A9EE5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4C04F76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16D6773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3A176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回收利</w:t>
            </w:r>
            <w:r>
              <w:rPr>
                <w:rFonts w:ascii="宋体" w:eastAsia="宋体" w:hAnsi="宋体"/>
                <w:sz w:val="21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14:paraId="4CD45998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59E96B2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定期统计产品／包装物回收利用指标，如： </w:t>
            </w:r>
          </w:p>
          <w:p w14:paraId="2DCFEB5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●产品可回收利用率； </w:t>
            </w:r>
          </w:p>
          <w:p w14:paraId="429B7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●实际回收利用率； </w:t>
            </w:r>
          </w:p>
          <w:p w14:paraId="65C08B1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●循环利用材料的使用率； </w:t>
            </w:r>
          </w:p>
          <w:p w14:paraId="7B65EA4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●材料利用率； </w:t>
            </w:r>
          </w:p>
          <w:p w14:paraId="299E4D7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●废品率等</w:t>
            </w:r>
          </w:p>
        </w:tc>
        <w:tc>
          <w:tcPr>
            <w:tcW w:w="3238" w:type="dxa"/>
          </w:tcPr>
          <w:p w14:paraId="714745C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15B8452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929EA6F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3027C8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14:paraId="45C8E65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14:paraId="5CACCE02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2F5C8B7A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675E758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8.7</w:t>
            </w:r>
            <w:r>
              <w:rPr>
                <w:rFonts w:ascii="宋体" w:eastAsia="宋体" w:hAnsi="宋体"/>
                <w:sz w:val="21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14:paraId="41A75FC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3887" w:type="dxa"/>
          </w:tcPr>
          <w:p w14:paraId="78E9056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14:paraId="55F5CA0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C725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D381575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314B3CF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14:paraId="3D083E93">
            <w:pPr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14:paraId="0ACC0637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133F526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14:paraId="6DD6D81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14:paraId="693525AC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45D9CE9A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14:paraId="5CC566F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60</w:t>
            </w:r>
          </w:p>
        </w:tc>
        <w:tc>
          <w:tcPr>
            <w:tcW w:w="3887" w:type="dxa"/>
          </w:tcPr>
          <w:p w14:paraId="3147918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对企业及供应商绿色信息进行规范管理，信息可查询、可追溯，并在供应链系统有效传递；建立绿色供应链管理信息平台（可与企业信息化系统融合），功能包括： </w:t>
            </w:r>
          </w:p>
          <w:p w14:paraId="00FD4C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基础信息管理； </w:t>
            </w:r>
          </w:p>
          <w:p w14:paraId="662B65C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　绿色设计系统； </w:t>
            </w:r>
          </w:p>
          <w:p w14:paraId="7A1ACAD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●绿色物料管控； </w:t>
            </w:r>
          </w:p>
          <w:p w14:paraId="7D0CBB8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●绿色供应商管理； </w:t>
            </w:r>
          </w:p>
          <w:p w14:paraId="49430B59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●绿色生产信息管理； </w:t>
            </w:r>
          </w:p>
          <w:p w14:paraId="676B140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●绿色物流和末端处置； </w:t>
            </w:r>
          </w:p>
          <w:p w14:paraId="22F32E9D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●绿色信息披露等</w:t>
            </w:r>
          </w:p>
        </w:tc>
        <w:tc>
          <w:tcPr>
            <w:tcW w:w="3238" w:type="dxa"/>
          </w:tcPr>
          <w:p w14:paraId="2CF96E39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3EAA42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14:paraId="363DE14A">
        <w:tblPrEx>
          <w:tblW w:w="14111" w:type="dxa"/>
          <w:tblInd w:w="-431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  <w:vAlign w:val="center"/>
          </w:tcPr>
          <w:p w14:paraId="5DE7F980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14:paraId="6D88866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绿色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14:paraId="2F81C41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14:paraId="05E46C98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3ECC4B52">
            <w:pPr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7.4、8.8</w:t>
            </w:r>
          </w:p>
          <w:p w14:paraId="0B0398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14:paraId="6D842ECC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40</w:t>
            </w:r>
          </w:p>
        </w:tc>
        <w:tc>
          <w:tcPr>
            <w:tcW w:w="3887" w:type="dxa"/>
          </w:tcPr>
          <w:p w14:paraId="7657B71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披露企业绿色供应链相关信息，如： </w:t>
            </w:r>
          </w:p>
          <w:p w14:paraId="36F46212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●绿色发展战略、目标及企业合规性声明； </w:t>
            </w:r>
          </w:p>
          <w:p w14:paraId="6EC39B54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●政府及相关管理部门的要求定期披露企业的环境排放、能源等数据； </w:t>
            </w:r>
          </w:p>
          <w:p w14:paraId="255E9CA1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●产品绿色属性及有害物质使用情况； </w:t>
            </w:r>
          </w:p>
          <w:p w14:paraId="652BFB76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 xml:space="preserve">●产品拆解、回收处理及循环利用信息； </w:t>
            </w:r>
          </w:p>
          <w:p w14:paraId="525E6CC5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●绿色供应商信息等</w:t>
            </w:r>
          </w:p>
        </w:tc>
        <w:tc>
          <w:tcPr>
            <w:tcW w:w="3238" w:type="dxa"/>
          </w:tcPr>
          <w:p w14:paraId="6C6F617C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9" w:type="dxa"/>
          </w:tcPr>
          <w:p w14:paraId="2A4BFC0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2B9D1978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1"/>
          <w:szCs w:val="21"/>
          <w:lang w:val="en-US" w:eastAsia="zh-CN" w:bidi="ar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val="en-US" w:eastAsia="zh-CN" w:bidi="ar"/>
        </w:rPr>
        <w:t>评审依据为：RB/T 089-2022 《绿色供应链管理体系 要求及使用指南》和GB/T 39257-2020 《绿色制造 制造企业绿色供应链管理 评价规范》。</w:t>
      </w:r>
    </w:p>
    <w:p w14:paraId="7AC058B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计算公式：</w:t>
      </w:r>
    </w:p>
    <w:p w14:paraId="6F1DD008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∑R=ω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1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2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3</w:t>
      </w:r>
      <w:r>
        <w:rPr>
          <w:rFonts w:ascii="宋体" w:eastAsia="宋体" w:hAnsi="宋体" w:hint="eastAsia"/>
          <w:sz w:val="21"/>
          <w:szCs w:val="21"/>
        </w:rPr>
        <w:t>+ω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 w:hint="eastAsia"/>
          <w:sz w:val="21"/>
          <w:szCs w:val="21"/>
        </w:rPr>
        <w:t>R</w:t>
      </w:r>
      <w:r>
        <w:rPr>
          <w:rFonts w:ascii="宋体" w:eastAsia="宋体" w:hAnsi="宋体" w:hint="eastAsia"/>
          <w:sz w:val="21"/>
          <w:szCs w:val="21"/>
          <w:vertAlign w:val="subscript"/>
        </w:rPr>
        <w:t>4</w:t>
      </w:r>
      <w:r>
        <w:rPr>
          <w:rFonts w:ascii="宋体" w:eastAsia="宋体" w:hAnsi="宋体"/>
          <w:sz w:val="21"/>
          <w:szCs w:val="21"/>
        </w:rPr>
        <w:t>…………………</w:t>
      </w:r>
      <w:r>
        <w:rPr>
          <w:rFonts w:ascii="宋体" w:eastAsia="宋体" w:hAnsi="宋体" w:hint="eastAsia"/>
          <w:sz w:val="21"/>
          <w:szCs w:val="21"/>
        </w:rPr>
        <w:t>(1)</w:t>
      </w:r>
    </w:p>
    <w:p w14:paraId="688DF4D9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式中</w:t>
      </w:r>
    </w:p>
    <w:p w14:paraId="2152AA8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      ——绿色供应链评价实际综合分值</w:t>
      </w:r>
    </w:p>
    <w:p w14:paraId="3E2E5E5D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ω1、ω2、ω3、ω4——分别对应一级指标的权重</w:t>
      </w:r>
    </w:p>
    <w:p w14:paraId="207D3260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R1、R2、R3、R4——分别为所评价二级指标的得分</w:t>
      </w:r>
    </w:p>
    <w:p w14:paraId="2DFC19F4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∑R=</w:t>
      </w:r>
    </w:p>
    <w:p w14:paraId="5D87BEEE">
      <w:pPr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评级结论：</w:t>
      </w:r>
    </w:p>
    <w:p w14:paraId="2A1C8A31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□不合格</w:t>
      </w:r>
    </w:p>
    <w:p w14:paraId="205DB9D4">
      <w:pPr>
        <w:rPr>
          <w:rFonts w:ascii="宋体" w:eastAsia="宋体" w:hAnsi="宋体" w:hint="eastAsia"/>
          <w:sz w:val="21"/>
          <w:szCs w:val="21"/>
          <w:lang w:eastAsia="zh-CN"/>
        </w:rPr>
      </w:pPr>
      <w:r>
        <w:rPr>
          <w:rFonts w:ascii="宋体" w:eastAsia="宋体" w:hAnsi="宋体" w:hint="eastAsia"/>
          <w:sz w:val="21"/>
          <w:szCs w:val="21"/>
        </w:rPr>
        <w:t>□合格，级别为</w:t>
      </w:r>
      <w:r>
        <w:rPr>
          <w:rFonts w:ascii="宋体" w:eastAsia="宋体" w:hAnsi="宋体" w:hint="eastAsia"/>
          <w:sz w:val="21"/>
          <w:szCs w:val="21"/>
          <w:u w:val="single"/>
        </w:rPr>
        <w:t>：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21"/>
          <w:szCs w:val="21"/>
          <w:u w:val="single"/>
          <w:lang w:val="en-US" w:eastAsia="zh-CN"/>
        </w:rPr>
        <w:t>星</w:t>
      </w:r>
      <w:r>
        <w:rPr>
          <w:rFonts w:ascii="宋体" w:eastAsia="宋体" w:hAnsi="宋体" w:hint="eastAsia"/>
          <w:b/>
          <w:bCs/>
          <w:sz w:val="21"/>
          <w:szCs w:val="21"/>
          <w:u w:val="single"/>
        </w:rPr>
        <w:t>级，</w:t>
      </w:r>
      <w:r>
        <w:rPr>
          <w:rFonts w:ascii="宋体" w:eastAsia="宋体" w:hAnsi="宋体" w:hint="eastAsia"/>
          <w:sz w:val="21"/>
          <w:szCs w:val="21"/>
        </w:rPr>
        <w:t>可以颁发对应级别的绿色供应链认证证书</w:t>
      </w:r>
      <w:r>
        <w:rPr>
          <w:rFonts w:ascii="宋体" w:eastAsia="宋体" w:hAnsi="宋体" w:hint="eastAsia"/>
          <w:sz w:val="21"/>
          <w:szCs w:val="21"/>
          <w:lang w:eastAsia="zh-CN"/>
        </w:rPr>
        <w:t>。</w:t>
      </w:r>
    </w:p>
    <w:p w14:paraId="491B515F">
      <w:pPr>
        <w:rPr>
          <w:rFonts w:ascii="宋体" w:eastAsia="宋体" w:hAnsi="宋体" w:hint="eastAsia"/>
          <w:sz w:val="21"/>
          <w:szCs w:val="21"/>
        </w:rPr>
      </w:pPr>
    </w:p>
    <w:p w14:paraId="5A3D0D23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414"/>
        <w:gridCol w:w="5954"/>
      </w:tblGrid>
      <w:tr w14:paraId="77244D1D">
        <w:tblPrEx>
          <w:tblW w:w="10631" w:type="dxa"/>
          <w:tblInd w:w="9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1F1CDF5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评级结论</w:t>
            </w:r>
          </w:p>
        </w:tc>
        <w:tc>
          <w:tcPr>
            <w:tcW w:w="2414" w:type="dxa"/>
          </w:tcPr>
          <w:p w14:paraId="3B2E785E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分级</w:t>
            </w:r>
          </w:p>
        </w:tc>
        <w:tc>
          <w:tcPr>
            <w:tcW w:w="5954" w:type="dxa"/>
          </w:tcPr>
          <w:p w14:paraId="1194C683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条件</w:t>
            </w:r>
          </w:p>
        </w:tc>
      </w:tr>
      <w:tr w14:paraId="2A0D8129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  <w:vAlign w:val="center"/>
          </w:tcPr>
          <w:p w14:paraId="3331A49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14:paraId="67ADE0A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五星）</w:t>
            </w:r>
          </w:p>
        </w:tc>
        <w:tc>
          <w:tcPr>
            <w:tcW w:w="5954" w:type="dxa"/>
          </w:tcPr>
          <w:p w14:paraId="3219C086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必选项符合，且∑R≥90</w:t>
            </w:r>
          </w:p>
        </w:tc>
      </w:tr>
      <w:tr w14:paraId="369F30C7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C3FA17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29DEE56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四星）</w:t>
            </w:r>
          </w:p>
        </w:tc>
        <w:tc>
          <w:tcPr>
            <w:tcW w:w="5954" w:type="dxa"/>
          </w:tcPr>
          <w:p w14:paraId="5772A7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必选项符合，且80≤∑R＜90</w:t>
            </w:r>
          </w:p>
        </w:tc>
      </w:tr>
      <w:tr w14:paraId="7A9DCC0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6AD60643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1DF26D4E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三星）</w:t>
            </w:r>
          </w:p>
        </w:tc>
        <w:tc>
          <w:tcPr>
            <w:tcW w:w="5954" w:type="dxa"/>
          </w:tcPr>
          <w:p w14:paraId="0BD9A230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必选项符合，且70≤∑R＜80</w:t>
            </w:r>
          </w:p>
        </w:tc>
      </w:tr>
      <w:tr w14:paraId="2BD8D2FB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/>
            <w:vAlign w:val="center"/>
          </w:tcPr>
          <w:p w14:paraId="3CAB7FB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0AE31F71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二星）</w:t>
            </w:r>
          </w:p>
        </w:tc>
        <w:tc>
          <w:tcPr>
            <w:tcW w:w="5954" w:type="dxa"/>
          </w:tcPr>
          <w:p w14:paraId="33343A4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必选项符合，且60≤∑R＜70</w:t>
            </w:r>
          </w:p>
        </w:tc>
      </w:tr>
      <w:tr w14:paraId="10BF49EE">
        <w:tblPrEx>
          <w:tblW w:w="10631" w:type="dxa"/>
          <w:tblInd w:w="98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77B59FAA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14:paraId="1BA69DC0">
            <w:pPr>
              <w:jc w:val="center"/>
              <w:rPr>
                <w:rFonts w:ascii="宋体" w:eastAsia="宋体" w:hAnsi="宋体" w:hint="default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五级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一星）</w:t>
            </w:r>
          </w:p>
        </w:tc>
        <w:tc>
          <w:tcPr>
            <w:tcW w:w="5954" w:type="dxa"/>
          </w:tcPr>
          <w:p w14:paraId="60A52C49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必选项指标缺失或不符合要求；</w:t>
            </w:r>
          </w:p>
          <w:p w14:paraId="690F10B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或必选项符合，但∑R＜60</w:t>
            </w:r>
          </w:p>
        </w:tc>
      </w:tr>
    </w:tbl>
    <w:p w14:paraId="04E5FCA6">
      <w:pPr>
        <w:spacing w:line="360" w:lineRule="auto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注：1、如果企业不需要星、级，可以不进行打分，仅按管理体系审核记录填写。</w:t>
      </w:r>
    </w:p>
    <w:p w14:paraId="3CCB09A4">
      <w:pPr>
        <w:spacing w:line="360" w:lineRule="auto"/>
        <w:ind w:firstLine="210" w:firstLineChars="100"/>
        <w:jc w:val="both"/>
        <w:rPr>
          <w:rFonts w:ascii="宋体" w:eastAsia="宋体" w:hAnsi="宋体" w:hint="default"/>
          <w:sz w:val="21"/>
          <w:szCs w:val="21"/>
          <w:lang w:val="en-US" w:eastAsia="zh-CN"/>
        </w:rPr>
      </w:pPr>
      <w:r>
        <w:rPr>
          <w:rFonts w:ascii="宋体" w:eastAsia="宋体" w:hAnsi="宋体" w:hint="eastAsia"/>
          <w:sz w:val="21"/>
          <w:szCs w:val="21"/>
          <w:lang w:val="en-US" w:eastAsia="zh-CN"/>
        </w:rPr>
        <w:t>2、如果需要星、级。则星、级可根据企业的需要可单独给一级或者五星，也可是它们的组合。推荐是给五星。请与企业确认后填写认证信息确认表。</w:t>
      </w:r>
    </w:p>
    <w:p w14:paraId="73C07F3A">
      <w:pPr>
        <w:jc w:val="right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</w:t>
      </w:r>
    </w:p>
    <w:sectPr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6838" w:h="11906" w:orient="landscape"/>
      <w:pgMar w:top="1134" w:right="1135" w:bottom="993" w:left="1440" w:header="568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02B3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8C7EFC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271EA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980822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918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14:paraId="1BA7260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>
      <w:rPr>
        <w:rFonts w:ascii="宋体" w:eastAsia="宋体" w:hAnsi="宋体"/>
        <w:szCs w:val="21"/>
      </w:rPr>
      <w:t xml:space="preserve"> </w:t>
    </w:r>
    <w:r>
      <w:rPr>
        <w:rFonts w:ascii="宋体" w:eastAsia="宋体" w:hAnsi="宋体" w:hint="eastAsia"/>
        <w:szCs w:val="21"/>
      </w:rPr>
      <w:t xml:space="preserve">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  <w:lang w:val="en-US" w:eastAsia="zh-CN"/>
      </w:rPr>
      <w:t>8</w:t>
    </w:r>
    <w:r>
      <w:rPr>
        <w:rFonts w:ascii="宋体" w:eastAsia="宋体" w:hAnsi="宋体" w:hint="eastAsia"/>
        <w:szCs w:val="21"/>
      </w:rPr>
      <w:t xml:space="preserve"> </w:t>
    </w:r>
    <w:r>
      <w:rPr>
        <w:rFonts w:ascii="宋体" w:eastAsia="宋体" w:hAnsi="宋体" w:hint="eastAsia"/>
        <w:szCs w:val="21"/>
        <w:lang w:val="en-US" w:eastAsia="zh-CN"/>
      </w:rPr>
      <w:t>B</w:t>
    </w:r>
    <w:r>
      <w:rPr>
        <w:rFonts w:ascii="宋体" w:eastAsia="宋体" w:hAnsi="宋体" w:hint="eastAsia"/>
        <w:szCs w:val="21"/>
      </w:rPr>
      <w:t>/0</w:t>
    </w:r>
  </w:p>
  <w:p w14:paraId="5CFD1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E3B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31E4B"/>
    <w:rsid w:val="008601E2"/>
    <w:rsid w:val="00883DBE"/>
    <w:rsid w:val="00885A67"/>
    <w:rsid w:val="008C7E2E"/>
    <w:rsid w:val="009D7BA4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F80788"/>
    <w:rsid w:val="00F91C7A"/>
    <w:rsid w:val="66DB4F71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header" Target="header3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1135</Words>
  <Characters>1199</Characters>
  <Application>Microsoft Office Word</Application>
  <DocSecurity>0</DocSecurity>
  <Lines>29</Lines>
  <Paragraphs>8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3</cp:revision>
  <dcterms:created xsi:type="dcterms:W3CDTF">2024-09-11T08:34:00Z</dcterms:created>
  <dcterms:modified xsi:type="dcterms:W3CDTF">2025-09-14T01:15:12Z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