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宁波卓美日用品有限公司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20677-2025-E</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 xml:space="preserve"> 江北区慈城镇新横八路4号</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浙江省宁波市江北区慈城镇新横八路4号</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 xml:space="preserve"> 任超</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15657806225</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25</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 xml:space="preserve">gm@jomeforbath.com </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2025年05月16日 08:30至2025年05月16日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1.5</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E:洗浴用塑料制品的制造所涉及场所的相关环境管理活动所涉及场所的相关环境管理活动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14.02.04</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孙博</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2024-N1EMS-1340209</w:t>
            </w:r>
          </w:p>
        </w:tc>
        <w:tc>
          <w:tcPr>
            <w:tcW w:w="3684" w:type="dxa"/>
            <w:gridSpan w:val="9"/>
            <w:vAlign w:val="center"/>
          </w:tcPr>
          <w:p w14:paraId="69711AD9">
            <w:pPr>
              <w:jc w:val="center"/>
              <w:rPr>
                <w:sz w:val="21"/>
                <w:szCs w:val="21"/>
              </w:rPr>
            </w:pPr>
            <w:r>
              <w:t>14.02.04</w:t>
            </w:r>
          </w:p>
        </w:tc>
        <w:tc>
          <w:tcPr>
            <w:tcW w:w="1560" w:type="dxa"/>
            <w:gridSpan w:val="2"/>
            <w:vAlign w:val="center"/>
          </w:tcPr>
          <w:p w14:paraId="27CBF787">
            <w:pPr>
              <w:jc w:val="center"/>
              <w:rPr>
                <w:sz w:val="21"/>
                <w:szCs w:val="21"/>
              </w:rPr>
            </w:pPr>
            <w:r>
              <w:t>13940576596</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2025-05-14</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611040"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孙博</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89362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