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大同市恒芳园林绿化工程有限责任公司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30701-2023-QEO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赵丽萍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749547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